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9399" w14:textId="1CFAEC0A" w:rsidR="001D0F6D" w:rsidRPr="00FB28DE" w:rsidRDefault="00435E61" w:rsidP="00151576">
      <w:pPr>
        <w:pStyle w:val="Crestwithrule"/>
        <w:tabs>
          <w:tab w:val="center" w:pos="1866"/>
        </w:tabs>
        <w:sectPr w:rsidR="001D0F6D" w:rsidRPr="00FB28DE" w:rsidSect="006D7132">
          <w:headerReference w:type="even" r:id="rId11"/>
          <w:headerReference w:type="default" r:id="rId12"/>
          <w:footerReference w:type="default" r:id="rId13"/>
          <w:headerReference w:type="first" r:id="rId14"/>
          <w:footerReference w:type="first" r:id="rId15"/>
          <w:endnotePr>
            <w:numFmt w:val="decimal"/>
          </w:endnotePr>
          <w:pgSz w:w="11906" w:h="16838"/>
          <w:pgMar w:top="284" w:right="851" w:bottom="1134" w:left="851" w:header="0" w:footer="0" w:gutter="0"/>
          <w:pgNumType w:start="2"/>
          <w:cols w:space="708"/>
          <w:titlePg/>
          <w:docGrid w:linePitch="360"/>
        </w:sectPr>
      </w:pPr>
      <w:r w:rsidRPr="00FB28DE">
        <w:drawing>
          <wp:anchor distT="0" distB="0" distL="114300" distR="114300" simplePos="0" relativeHeight="251658240" behindDoc="0" locked="0" layoutInCell="1" allowOverlap="1" wp14:anchorId="5F89D893" wp14:editId="72E1DCAF">
            <wp:simplePos x="0" y="0"/>
            <wp:positionH relativeFrom="margin">
              <wp:align>left</wp:align>
            </wp:positionH>
            <wp:positionV relativeFrom="paragraph">
              <wp:posOffset>-692150</wp:posOffset>
            </wp:positionV>
            <wp:extent cx="4085294" cy="900000"/>
            <wp:effectExtent l="0" t="0" r="0" b="0"/>
            <wp:wrapNone/>
            <wp:docPr id="1079287941" name="Picture 1" descr="Australian Government. National Commission for Aboriginal and Torres Strait Islander Children and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87941" name="Picture 1" descr="Australian Government. National Commission for Aboriginal and Torres Strait Islander Children and Young People"/>
                    <pic:cNvPicPr/>
                  </pic:nvPicPr>
                  <pic:blipFill>
                    <a:blip r:embed="rId16">
                      <a:extLst>
                        <a:ext uri="{28A0092B-C50C-407E-A947-70E740481C1C}">
                          <a14:useLocalDpi xmlns:a14="http://schemas.microsoft.com/office/drawing/2010/main" val="0"/>
                        </a:ext>
                      </a:extLst>
                    </a:blip>
                    <a:stretch>
                      <a:fillRect/>
                    </a:stretch>
                  </pic:blipFill>
                  <pic:spPr>
                    <a:xfrm>
                      <a:off x="0" y="0"/>
                      <a:ext cx="4085294" cy="900000"/>
                    </a:xfrm>
                    <a:prstGeom prst="rect">
                      <a:avLst/>
                    </a:prstGeom>
                  </pic:spPr>
                </pic:pic>
              </a:graphicData>
            </a:graphic>
          </wp:anchor>
        </w:drawing>
      </w:r>
      <w:r w:rsidR="0050219B" w:rsidRPr="00FB28DE">
        <w:tab/>
      </w:r>
      <w:r w:rsidR="0050219B" w:rsidRPr="00FB28DE">
        <w:tab/>
      </w:r>
      <w:r w:rsidR="00124C56" w:rsidRPr="00FB28DE">
        <w:br w:type="textWrapping" w:clear="all"/>
      </w:r>
    </w:p>
    <w:p w14:paraId="7DFD3F80" w14:textId="793B4EB0" w:rsidR="00C57001" w:rsidRPr="00FB28DE" w:rsidRDefault="000C2404" w:rsidP="007A4AE6">
      <w:pPr>
        <w:pStyle w:val="Heading1withsubtitle"/>
        <w:tabs>
          <w:tab w:val="left" w:pos="8384"/>
        </w:tabs>
        <w:spacing w:before="2000"/>
        <w:rPr>
          <w:i/>
          <w:iCs/>
          <w:smallCaps/>
        </w:rPr>
      </w:pPr>
      <w:r w:rsidRPr="00FB28DE">
        <w:t>Corporate Plan</w:t>
      </w:r>
    </w:p>
    <w:p w14:paraId="108E00D3" w14:textId="0ABF5F97" w:rsidR="00F0525C" w:rsidRPr="00FB28DE" w:rsidRDefault="00F0525C" w:rsidP="004B3673">
      <w:pPr>
        <w:pStyle w:val="Subtitle"/>
        <w:spacing w:before="240" w:after="0"/>
        <w:rPr>
          <w:sz w:val="40"/>
          <w:szCs w:val="32"/>
        </w:rPr>
      </w:pPr>
      <w:bookmarkStart w:id="0" w:name="_Toc395536189"/>
      <w:r w:rsidRPr="00FB28DE">
        <w:rPr>
          <w:sz w:val="40"/>
          <w:szCs w:val="32"/>
        </w:rPr>
        <w:t>2024–2</w:t>
      </w:r>
      <w:r w:rsidR="00666DFA">
        <w:rPr>
          <w:sz w:val="40"/>
          <w:szCs w:val="32"/>
        </w:rPr>
        <w:t>5</w:t>
      </w:r>
    </w:p>
    <w:p w14:paraId="5B5EF204" w14:textId="4B4EE468" w:rsidR="000E55FE" w:rsidRPr="00FB28DE" w:rsidRDefault="000E55FE" w:rsidP="008414DF">
      <w:pPr>
        <w:pStyle w:val="Subtitle"/>
        <w:rPr>
          <w:b w:val="0"/>
          <w:bCs/>
        </w:rPr>
      </w:pPr>
      <w:r w:rsidRPr="00FB28DE">
        <w:rPr>
          <w:b w:val="0"/>
          <w:bCs/>
        </w:rPr>
        <w:br w:type="page"/>
      </w:r>
    </w:p>
    <w:p w14:paraId="647758DF" w14:textId="77777777" w:rsidR="00F76D21" w:rsidRPr="00FB28DE" w:rsidRDefault="00F76D21" w:rsidP="007772C5">
      <w:pPr>
        <w:spacing w:before="4600"/>
      </w:pPr>
    </w:p>
    <w:p w14:paraId="4D9DD53A" w14:textId="77777777" w:rsidR="00A15F4B" w:rsidRPr="00FB28DE" w:rsidRDefault="00A15F4B" w:rsidP="000D1C49">
      <w:pPr>
        <w:pStyle w:val="Heading4"/>
      </w:pPr>
      <w:bookmarkStart w:id="1" w:name="_Toc144375367"/>
      <w:bookmarkStart w:id="2" w:name="_Toc161056824"/>
      <w:bookmarkEnd w:id="0"/>
      <w:r w:rsidRPr="00FB28DE">
        <w:t xml:space="preserve">Acknowledgement of Country </w:t>
      </w:r>
    </w:p>
    <w:p w14:paraId="2E7F93F7" w14:textId="57958ACA" w:rsidR="00120528" w:rsidRPr="00FB28DE" w:rsidRDefault="00BF67E9" w:rsidP="00120528">
      <w:pPr>
        <w:rPr>
          <w:b/>
          <w:bCs/>
        </w:rPr>
      </w:pPr>
      <w:r w:rsidRPr="00FB28DE">
        <w:t xml:space="preserve">The National Commission </w:t>
      </w:r>
      <w:r w:rsidR="00145E7D" w:rsidRPr="00FB28DE">
        <w:t xml:space="preserve">for Aboriginal and Torres Strait Islander Children and Young People </w:t>
      </w:r>
      <w:r w:rsidRPr="00FB28DE">
        <w:t>acknowledges the Traditional Custodians of Country throughout Australia and recognises their continu</w:t>
      </w:r>
      <w:r w:rsidR="001E474C" w:rsidRPr="00FB28DE">
        <w:t xml:space="preserve">ed care </w:t>
      </w:r>
      <w:r w:rsidR="0058710B" w:rsidRPr="00FB28DE">
        <w:t xml:space="preserve">of </w:t>
      </w:r>
      <w:r w:rsidR="001E474C" w:rsidRPr="00FB28DE">
        <w:t xml:space="preserve">and </w:t>
      </w:r>
      <w:r w:rsidRPr="00FB28DE">
        <w:t>connection to land, water, culture and community. ​</w:t>
      </w:r>
      <w:r w:rsidR="00120528" w:rsidRPr="00FB28DE">
        <w:t>We pay our respect</w:t>
      </w:r>
      <w:r w:rsidR="00B96323" w:rsidRPr="00FB28DE">
        <w:t>s</w:t>
      </w:r>
      <w:r w:rsidR="00120528" w:rsidRPr="00FB28DE">
        <w:t xml:space="preserve"> to Aboriginal and Torres Strait Islander cultures, and to Elders both past and present</w:t>
      </w:r>
      <w:r w:rsidR="00B96323" w:rsidRPr="00FB28DE">
        <w:t>.</w:t>
      </w:r>
    </w:p>
    <w:p w14:paraId="2E4A09EC" w14:textId="6F5C2AB7" w:rsidR="00BF67E9" w:rsidRPr="00FB28DE" w:rsidRDefault="00BF67E9" w:rsidP="4996CD57"/>
    <w:p w14:paraId="596C7455" w14:textId="2D70D0E4" w:rsidR="003C2F28" w:rsidRPr="00FB28DE" w:rsidRDefault="003C2F28" w:rsidP="000D1C49">
      <w:pPr>
        <w:pStyle w:val="Heading4"/>
      </w:pPr>
    </w:p>
    <w:p w14:paraId="136EF344" w14:textId="2972C94D" w:rsidR="003C2F28" w:rsidRPr="00FB28DE" w:rsidRDefault="003C2F28" w:rsidP="000D1C49">
      <w:pPr>
        <w:pStyle w:val="Heading4"/>
      </w:pPr>
      <w:r w:rsidRPr="00FB28DE">
        <w:t>Note on language</w:t>
      </w:r>
    </w:p>
    <w:p w14:paraId="539A7488" w14:textId="635FEC4D" w:rsidR="003C2F28" w:rsidRPr="00FB28DE" w:rsidRDefault="000D7E16" w:rsidP="003C2F28">
      <w:r w:rsidRPr="00FB28DE">
        <w:t>The terms Aboriginal and Torres Strait Islander, First Nations, and Indigenous are used respectfully and interchangeably throughout this document when referring to First Nations peoples of Australia. These terms are used to respectfully encompass the diversity of cultures, identities, and preferences of Aboriginal and Torres Strait Islander peoples.</w:t>
      </w:r>
    </w:p>
    <w:p w14:paraId="20DE9701" w14:textId="1F3390A4" w:rsidR="003C2F28" w:rsidRPr="00FB28DE" w:rsidRDefault="003C2F28" w:rsidP="00496A0D">
      <w:pPr>
        <w:pStyle w:val="Heading2"/>
      </w:pPr>
    </w:p>
    <w:p w14:paraId="261F18D4" w14:textId="7372BDE4" w:rsidR="003C2F28" w:rsidRPr="00FB28DE" w:rsidDel="005A5C48" w:rsidRDefault="00496A0D" w:rsidP="000D1C49">
      <w:pPr>
        <w:pStyle w:val="Heading4"/>
      </w:pPr>
      <w:r w:rsidRPr="00FB28DE">
        <w:t xml:space="preserve">Statement of </w:t>
      </w:r>
      <w:r w:rsidR="00CB11C1" w:rsidRPr="00FB28DE">
        <w:t>Preparation</w:t>
      </w:r>
    </w:p>
    <w:p w14:paraId="20A26262" w14:textId="12F8E7D6" w:rsidR="00060135" w:rsidRPr="00FB28DE" w:rsidDel="005A5C48" w:rsidRDefault="41F643A8" w:rsidP="00CB11C1">
      <w:r w:rsidRPr="00FB28DE">
        <w:t>I,</w:t>
      </w:r>
      <w:r w:rsidR="51B3DCAA" w:rsidRPr="00FB28DE">
        <w:t xml:space="preserve"> Lil</w:t>
      </w:r>
      <w:r w:rsidR="1AA428FC" w:rsidRPr="00FB28DE">
        <w:t>lian</w:t>
      </w:r>
      <w:r w:rsidR="000D53E2" w:rsidRPr="00FB28DE">
        <w:t xml:space="preserve"> </w:t>
      </w:r>
      <w:r w:rsidR="51B3DCAA" w:rsidRPr="00FB28DE">
        <w:t>Gordon,</w:t>
      </w:r>
      <w:r w:rsidRPr="00FB28DE">
        <w:t xml:space="preserve"> as the accountable authority of</w:t>
      </w:r>
      <w:r w:rsidR="6F3FAC62" w:rsidRPr="00FB28DE">
        <w:t xml:space="preserve"> the National Commission for Aboriginal and Torres Strait Islander Children and Young People</w:t>
      </w:r>
      <w:r w:rsidRPr="00FB28DE">
        <w:t xml:space="preserve">, present the </w:t>
      </w:r>
      <w:r w:rsidR="6F3FAC62" w:rsidRPr="00FB28DE">
        <w:t>2024–25</w:t>
      </w:r>
      <w:r w:rsidRPr="00FB28DE">
        <w:t xml:space="preserve"> </w:t>
      </w:r>
      <w:r w:rsidR="6F3FAC62" w:rsidRPr="00FB28DE">
        <w:t xml:space="preserve">National Commission for Aboriginal and Torres Strait Islander Children and Young People </w:t>
      </w:r>
      <w:r w:rsidRPr="00FB28DE">
        <w:t xml:space="preserve">corporate plan, which covers the periods of </w:t>
      </w:r>
      <w:r w:rsidR="6F3FAC62" w:rsidRPr="00FB28DE">
        <w:t>2024–25 to 2027–28</w:t>
      </w:r>
      <w:r w:rsidRPr="00FB28DE">
        <w:t xml:space="preserve">, as required under paragraph 35(1)(b) of the </w:t>
      </w:r>
      <w:r w:rsidRPr="00FB28DE">
        <w:rPr>
          <w:i/>
          <w:iCs/>
        </w:rPr>
        <w:t>Public Governance, Performance and Accountability Act 2013</w:t>
      </w:r>
      <w:r w:rsidR="449EE2E9" w:rsidRPr="00FB28DE">
        <w:t>.</w:t>
      </w:r>
    </w:p>
    <w:p w14:paraId="1994B590" w14:textId="144C5992" w:rsidR="00496A0D" w:rsidRPr="00FB28DE" w:rsidRDefault="007F4D27" w:rsidP="00496A0D">
      <w:r w:rsidRPr="00FB28DE">
        <w:rPr>
          <w:noProof/>
        </w:rPr>
        <w:drawing>
          <wp:inline distT="0" distB="0" distL="0" distR="0" wp14:anchorId="3B55E117" wp14:editId="7077DEDF">
            <wp:extent cx="1491448" cy="707533"/>
            <wp:effectExtent l="0" t="0" r="0" b="0"/>
            <wp:docPr id="1557638176" name="Picture 1" descr="Lillian Gordon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638176" name="Picture 1" descr="Lillian Gordon -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9609" cy="711404"/>
                    </a:xfrm>
                    <a:prstGeom prst="rect">
                      <a:avLst/>
                    </a:prstGeom>
                    <a:noFill/>
                    <a:ln>
                      <a:noFill/>
                    </a:ln>
                  </pic:spPr>
                </pic:pic>
              </a:graphicData>
            </a:graphic>
          </wp:inline>
        </w:drawing>
      </w:r>
    </w:p>
    <w:p w14:paraId="792D9C84" w14:textId="77777777" w:rsidR="00BE182F" w:rsidRPr="00FB28DE" w:rsidRDefault="00BE182F" w:rsidP="00BE182F">
      <w:pPr>
        <w:rPr>
          <w:b/>
          <w:bCs/>
        </w:rPr>
      </w:pPr>
      <w:r w:rsidRPr="00FB28DE">
        <w:rPr>
          <w:b/>
          <w:bCs/>
        </w:rPr>
        <w:t>Lillian Gordon</w:t>
      </w:r>
    </w:p>
    <w:p w14:paraId="65DA77E6" w14:textId="77777777" w:rsidR="00BE182F" w:rsidRPr="00FB28DE" w:rsidRDefault="00BE182F" w:rsidP="00BE182F">
      <w:r w:rsidRPr="00FB28DE">
        <w:t>Acting National Commissioner for Aboriginal and Torres Strait Islander Children and Young People</w:t>
      </w:r>
    </w:p>
    <w:p w14:paraId="0936ADD1" w14:textId="77777777" w:rsidR="00BE182F" w:rsidRPr="00FB28DE" w:rsidRDefault="00BE182F" w:rsidP="00BE182F">
      <w:r w:rsidRPr="00FB28DE">
        <w:t>3 June 2025</w:t>
      </w:r>
    </w:p>
    <w:p w14:paraId="0F6B9A12" w14:textId="77777777" w:rsidR="001972BF" w:rsidRPr="00FB28DE" w:rsidRDefault="001972BF">
      <w:pPr>
        <w:spacing w:after="240"/>
        <w:rPr>
          <w:rFonts w:asciiTheme="majorHAnsi" w:eastAsiaTheme="majorEastAsia" w:hAnsiTheme="majorHAnsi" w:cstheme="majorBidi"/>
          <w:b/>
          <w:bCs/>
          <w:color w:val="4C41A0" w:themeColor="accent1"/>
          <w:sz w:val="40"/>
          <w:szCs w:val="26"/>
        </w:rPr>
      </w:pPr>
      <w:r w:rsidRPr="00FB28DE">
        <w:br w:type="page"/>
      </w:r>
    </w:p>
    <w:bookmarkEnd w:id="1"/>
    <w:bookmarkEnd w:id="2"/>
    <w:p w14:paraId="4AA7269B" w14:textId="77777777" w:rsidR="009670C6" w:rsidRPr="00FB28DE" w:rsidRDefault="009670C6" w:rsidP="009A4232">
      <w:pPr>
        <w:pStyle w:val="TOCHeading"/>
      </w:pPr>
      <w:r w:rsidRPr="00FB28DE">
        <w:lastRenderedPageBreak/>
        <w:t>Contents</w:t>
      </w:r>
    </w:p>
    <w:bookmarkStart w:id="3" w:name="_Toc144375369"/>
    <w:bookmarkStart w:id="4" w:name="_Toc161056827"/>
    <w:p w14:paraId="1A361ABE" w14:textId="64FA2F48" w:rsidR="00D45710" w:rsidRPr="00FB28DE" w:rsidRDefault="00C848CA">
      <w:pPr>
        <w:pStyle w:val="TOC2"/>
        <w:tabs>
          <w:tab w:val="right" w:leader="dot" w:pos="10194"/>
        </w:tabs>
        <w:rPr>
          <w:rFonts w:eastAsiaTheme="minorEastAsia"/>
          <w:noProof/>
          <w:spacing w:val="0"/>
          <w:kern w:val="2"/>
          <w:sz w:val="24"/>
          <w:lang w:eastAsia="en-AU"/>
          <w14:ligatures w14:val="standardContextual"/>
        </w:rPr>
      </w:pPr>
      <w:r w:rsidRPr="00FB28DE">
        <w:fldChar w:fldCharType="begin"/>
      </w:r>
      <w:r w:rsidRPr="00FB28DE">
        <w:instrText xml:space="preserve"> TOC \o "1-3" \h \z \u </w:instrText>
      </w:r>
      <w:r w:rsidRPr="00FB28DE">
        <w:fldChar w:fldCharType="separate"/>
      </w:r>
      <w:hyperlink w:anchor="_Toc199835367" w:history="1">
        <w:r w:rsidR="00D45710" w:rsidRPr="00FB28DE">
          <w:rPr>
            <w:rStyle w:val="Hyperlink"/>
            <w:noProof/>
          </w:rPr>
          <w:t>National Commissioner’s Foreword</w:t>
        </w:r>
        <w:r w:rsidR="00D45710" w:rsidRPr="00FB28DE">
          <w:rPr>
            <w:noProof/>
            <w:webHidden/>
          </w:rPr>
          <w:tab/>
        </w:r>
        <w:r w:rsidR="00D45710" w:rsidRPr="00FB28DE">
          <w:rPr>
            <w:noProof/>
            <w:webHidden/>
          </w:rPr>
          <w:fldChar w:fldCharType="begin"/>
        </w:r>
        <w:r w:rsidR="00D45710" w:rsidRPr="00FB28DE">
          <w:rPr>
            <w:noProof/>
            <w:webHidden/>
          </w:rPr>
          <w:instrText xml:space="preserve"> PAGEREF _Toc199835367 \h </w:instrText>
        </w:r>
        <w:r w:rsidR="00D45710" w:rsidRPr="00FB28DE">
          <w:rPr>
            <w:noProof/>
            <w:webHidden/>
          </w:rPr>
        </w:r>
        <w:r w:rsidR="00D45710" w:rsidRPr="00FB28DE">
          <w:rPr>
            <w:noProof/>
            <w:webHidden/>
          </w:rPr>
          <w:fldChar w:fldCharType="separate"/>
        </w:r>
        <w:r w:rsidR="00D45710" w:rsidRPr="00FB28DE">
          <w:rPr>
            <w:noProof/>
            <w:webHidden/>
          </w:rPr>
          <w:t>4</w:t>
        </w:r>
        <w:r w:rsidR="00D45710" w:rsidRPr="00FB28DE">
          <w:rPr>
            <w:noProof/>
            <w:webHidden/>
          </w:rPr>
          <w:fldChar w:fldCharType="end"/>
        </w:r>
      </w:hyperlink>
    </w:p>
    <w:p w14:paraId="28ACAEFC" w14:textId="5CEE82DE" w:rsidR="00D45710" w:rsidRPr="00FB28DE" w:rsidRDefault="00D45710">
      <w:pPr>
        <w:pStyle w:val="TOC2"/>
        <w:tabs>
          <w:tab w:val="right" w:leader="dot" w:pos="10194"/>
        </w:tabs>
        <w:rPr>
          <w:rFonts w:eastAsiaTheme="minorEastAsia"/>
          <w:noProof/>
          <w:spacing w:val="0"/>
          <w:kern w:val="2"/>
          <w:sz w:val="24"/>
          <w:lang w:eastAsia="en-AU"/>
          <w14:ligatures w14:val="standardContextual"/>
        </w:rPr>
      </w:pPr>
      <w:hyperlink w:anchor="_Toc199835368" w:history="1">
        <w:r w:rsidRPr="00FB28DE">
          <w:rPr>
            <w:rStyle w:val="Hyperlink"/>
            <w:noProof/>
          </w:rPr>
          <w:t>About the National Commission</w:t>
        </w:r>
        <w:r w:rsidRPr="00FB28DE">
          <w:rPr>
            <w:noProof/>
            <w:webHidden/>
          </w:rPr>
          <w:tab/>
        </w:r>
        <w:r w:rsidRPr="00FB28DE">
          <w:rPr>
            <w:noProof/>
            <w:webHidden/>
          </w:rPr>
          <w:fldChar w:fldCharType="begin"/>
        </w:r>
        <w:r w:rsidRPr="00FB28DE">
          <w:rPr>
            <w:noProof/>
            <w:webHidden/>
          </w:rPr>
          <w:instrText xml:space="preserve"> PAGEREF _Toc199835368 \h </w:instrText>
        </w:r>
        <w:r w:rsidRPr="00FB28DE">
          <w:rPr>
            <w:noProof/>
            <w:webHidden/>
          </w:rPr>
        </w:r>
        <w:r w:rsidRPr="00FB28DE">
          <w:rPr>
            <w:noProof/>
            <w:webHidden/>
          </w:rPr>
          <w:fldChar w:fldCharType="separate"/>
        </w:r>
        <w:r w:rsidRPr="00FB28DE">
          <w:rPr>
            <w:noProof/>
            <w:webHidden/>
          </w:rPr>
          <w:t>6</w:t>
        </w:r>
        <w:r w:rsidRPr="00FB28DE">
          <w:rPr>
            <w:noProof/>
            <w:webHidden/>
          </w:rPr>
          <w:fldChar w:fldCharType="end"/>
        </w:r>
      </w:hyperlink>
    </w:p>
    <w:p w14:paraId="03C1C9B9" w14:textId="02C271C2"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69" w:history="1">
        <w:r w:rsidRPr="00FB28DE">
          <w:rPr>
            <w:rStyle w:val="Hyperlink"/>
            <w:noProof/>
          </w:rPr>
          <w:t>Our purpose</w:t>
        </w:r>
        <w:r w:rsidRPr="00FB28DE">
          <w:rPr>
            <w:noProof/>
            <w:webHidden/>
          </w:rPr>
          <w:tab/>
        </w:r>
        <w:r w:rsidRPr="00FB28DE">
          <w:rPr>
            <w:noProof/>
            <w:webHidden/>
          </w:rPr>
          <w:fldChar w:fldCharType="begin"/>
        </w:r>
        <w:r w:rsidRPr="00FB28DE">
          <w:rPr>
            <w:noProof/>
            <w:webHidden/>
          </w:rPr>
          <w:instrText xml:space="preserve"> PAGEREF _Toc199835369 \h </w:instrText>
        </w:r>
        <w:r w:rsidRPr="00FB28DE">
          <w:rPr>
            <w:noProof/>
            <w:webHidden/>
          </w:rPr>
        </w:r>
        <w:r w:rsidRPr="00FB28DE">
          <w:rPr>
            <w:noProof/>
            <w:webHidden/>
          </w:rPr>
          <w:fldChar w:fldCharType="separate"/>
        </w:r>
        <w:r w:rsidRPr="00FB28DE">
          <w:rPr>
            <w:noProof/>
            <w:webHidden/>
          </w:rPr>
          <w:t>6</w:t>
        </w:r>
        <w:r w:rsidRPr="00FB28DE">
          <w:rPr>
            <w:noProof/>
            <w:webHidden/>
          </w:rPr>
          <w:fldChar w:fldCharType="end"/>
        </w:r>
      </w:hyperlink>
    </w:p>
    <w:p w14:paraId="3C647F52" w14:textId="49E6F528"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0" w:history="1">
        <w:r w:rsidRPr="00FB28DE">
          <w:rPr>
            <w:rStyle w:val="Hyperlink"/>
            <w:noProof/>
          </w:rPr>
          <w:t>Our Story</w:t>
        </w:r>
        <w:r w:rsidRPr="00FB28DE">
          <w:rPr>
            <w:noProof/>
            <w:webHidden/>
          </w:rPr>
          <w:tab/>
        </w:r>
        <w:r w:rsidRPr="00FB28DE">
          <w:rPr>
            <w:noProof/>
            <w:webHidden/>
          </w:rPr>
          <w:fldChar w:fldCharType="begin"/>
        </w:r>
        <w:r w:rsidRPr="00FB28DE">
          <w:rPr>
            <w:noProof/>
            <w:webHidden/>
          </w:rPr>
          <w:instrText xml:space="preserve"> PAGEREF _Toc199835370 \h </w:instrText>
        </w:r>
        <w:r w:rsidRPr="00FB28DE">
          <w:rPr>
            <w:noProof/>
            <w:webHidden/>
          </w:rPr>
        </w:r>
        <w:r w:rsidRPr="00FB28DE">
          <w:rPr>
            <w:noProof/>
            <w:webHidden/>
          </w:rPr>
          <w:fldChar w:fldCharType="separate"/>
        </w:r>
        <w:r w:rsidRPr="00FB28DE">
          <w:rPr>
            <w:noProof/>
            <w:webHidden/>
          </w:rPr>
          <w:t>6</w:t>
        </w:r>
        <w:r w:rsidRPr="00FB28DE">
          <w:rPr>
            <w:noProof/>
            <w:webHidden/>
          </w:rPr>
          <w:fldChar w:fldCharType="end"/>
        </w:r>
      </w:hyperlink>
    </w:p>
    <w:p w14:paraId="767540B5" w14:textId="6DD7639A"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1" w:history="1">
        <w:r w:rsidRPr="00FB28DE">
          <w:rPr>
            <w:rStyle w:val="Hyperlink"/>
            <w:noProof/>
          </w:rPr>
          <w:t>Outcome Statement</w:t>
        </w:r>
        <w:r w:rsidRPr="00FB28DE">
          <w:rPr>
            <w:noProof/>
            <w:webHidden/>
          </w:rPr>
          <w:tab/>
        </w:r>
        <w:r w:rsidRPr="00FB28DE">
          <w:rPr>
            <w:noProof/>
            <w:webHidden/>
          </w:rPr>
          <w:fldChar w:fldCharType="begin"/>
        </w:r>
        <w:r w:rsidRPr="00FB28DE">
          <w:rPr>
            <w:noProof/>
            <w:webHidden/>
          </w:rPr>
          <w:instrText xml:space="preserve"> PAGEREF _Toc199835371 \h </w:instrText>
        </w:r>
        <w:r w:rsidRPr="00FB28DE">
          <w:rPr>
            <w:noProof/>
            <w:webHidden/>
          </w:rPr>
        </w:r>
        <w:r w:rsidRPr="00FB28DE">
          <w:rPr>
            <w:noProof/>
            <w:webHidden/>
          </w:rPr>
          <w:fldChar w:fldCharType="separate"/>
        </w:r>
        <w:r w:rsidRPr="00FB28DE">
          <w:rPr>
            <w:noProof/>
            <w:webHidden/>
          </w:rPr>
          <w:t>6</w:t>
        </w:r>
        <w:r w:rsidRPr="00FB28DE">
          <w:rPr>
            <w:noProof/>
            <w:webHidden/>
          </w:rPr>
          <w:fldChar w:fldCharType="end"/>
        </w:r>
      </w:hyperlink>
    </w:p>
    <w:p w14:paraId="0B404A61" w14:textId="6AB1474F" w:rsidR="00D45710" w:rsidRPr="00FB28DE" w:rsidRDefault="00D45710">
      <w:pPr>
        <w:pStyle w:val="TOC2"/>
        <w:tabs>
          <w:tab w:val="right" w:leader="dot" w:pos="10194"/>
        </w:tabs>
        <w:rPr>
          <w:rFonts w:eastAsiaTheme="minorEastAsia"/>
          <w:noProof/>
          <w:spacing w:val="0"/>
          <w:kern w:val="2"/>
          <w:sz w:val="24"/>
          <w:lang w:eastAsia="en-AU"/>
          <w14:ligatures w14:val="standardContextual"/>
        </w:rPr>
      </w:pPr>
      <w:hyperlink w:anchor="_Toc199835372" w:history="1">
        <w:r w:rsidRPr="00FB28DE">
          <w:rPr>
            <w:rStyle w:val="Hyperlink"/>
            <w:noProof/>
          </w:rPr>
          <w:t>Key Activities</w:t>
        </w:r>
        <w:r w:rsidRPr="00FB28DE">
          <w:rPr>
            <w:noProof/>
            <w:webHidden/>
          </w:rPr>
          <w:tab/>
        </w:r>
        <w:r w:rsidRPr="00FB28DE">
          <w:rPr>
            <w:noProof/>
            <w:webHidden/>
          </w:rPr>
          <w:fldChar w:fldCharType="begin"/>
        </w:r>
        <w:r w:rsidRPr="00FB28DE">
          <w:rPr>
            <w:noProof/>
            <w:webHidden/>
          </w:rPr>
          <w:instrText xml:space="preserve"> PAGEREF _Toc199835372 \h </w:instrText>
        </w:r>
        <w:r w:rsidRPr="00FB28DE">
          <w:rPr>
            <w:noProof/>
            <w:webHidden/>
          </w:rPr>
        </w:r>
        <w:r w:rsidRPr="00FB28DE">
          <w:rPr>
            <w:noProof/>
            <w:webHidden/>
          </w:rPr>
          <w:fldChar w:fldCharType="separate"/>
        </w:r>
        <w:r w:rsidRPr="00FB28DE">
          <w:rPr>
            <w:noProof/>
            <w:webHidden/>
          </w:rPr>
          <w:t>8</w:t>
        </w:r>
        <w:r w:rsidRPr="00FB28DE">
          <w:rPr>
            <w:noProof/>
            <w:webHidden/>
          </w:rPr>
          <w:fldChar w:fldCharType="end"/>
        </w:r>
      </w:hyperlink>
    </w:p>
    <w:p w14:paraId="3C7230FF" w14:textId="2A187533"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3" w:history="1">
        <w:r w:rsidRPr="00FB28DE">
          <w:rPr>
            <w:rStyle w:val="Hyperlink"/>
            <w:noProof/>
          </w:rPr>
          <w:t>Amplifying the voices, aspirations and strengths of Aboriginal and Torres Strait Islander children and young people</w:t>
        </w:r>
        <w:r w:rsidRPr="00FB28DE">
          <w:rPr>
            <w:noProof/>
            <w:webHidden/>
          </w:rPr>
          <w:tab/>
        </w:r>
        <w:r w:rsidRPr="00FB28DE">
          <w:rPr>
            <w:noProof/>
            <w:webHidden/>
          </w:rPr>
          <w:fldChar w:fldCharType="begin"/>
        </w:r>
        <w:r w:rsidRPr="00FB28DE">
          <w:rPr>
            <w:noProof/>
            <w:webHidden/>
          </w:rPr>
          <w:instrText xml:space="preserve"> PAGEREF _Toc199835373 \h </w:instrText>
        </w:r>
        <w:r w:rsidRPr="00FB28DE">
          <w:rPr>
            <w:noProof/>
            <w:webHidden/>
          </w:rPr>
        </w:r>
        <w:r w:rsidRPr="00FB28DE">
          <w:rPr>
            <w:noProof/>
            <w:webHidden/>
          </w:rPr>
          <w:fldChar w:fldCharType="separate"/>
        </w:r>
        <w:r w:rsidRPr="00FB28DE">
          <w:rPr>
            <w:noProof/>
            <w:webHidden/>
          </w:rPr>
          <w:t>8</w:t>
        </w:r>
        <w:r w:rsidRPr="00FB28DE">
          <w:rPr>
            <w:noProof/>
            <w:webHidden/>
          </w:rPr>
          <w:fldChar w:fldCharType="end"/>
        </w:r>
      </w:hyperlink>
    </w:p>
    <w:p w14:paraId="03CE849A" w14:textId="7708B175"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4" w:history="1">
        <w:r w:rsidRPr="00FB28DE">
          <w:rPr>
            <w:rStyle w:val="Hyperlink"/>
            <w:noProof/>
          </w:rPr>
          <w:t>Providing advice to Government</w:t>
        </w:r>
        <w:r w:rsidRPr="00FB28DE">
          <w:rPr>
            <w:noProof/>
            <w:webHidden/>
          </w:rPr>
          <w:tab/>
        </w:r>
        <w:r w:rsidRPr="00FB28DE">
          <w:rPr>
            <w:noProof/>
            <w:webHidden/>
          </w:rPr>
          <w:fldChar w:fldCharType="begin"/>
        </w:r>
        <w:r w:rsidRPr="00FB28DE">
          <w:rPr>
            <w:noProof/>
            <w:webHidden/>
          </w:rPr>
          <w:instrText xml:space="preserve"> PAGEREF _Toc199835374 \h </w:instrText>
        </w:r>
        <w:r w:rsidRPr="00FB28DE">
          <w:rPr>
            <w:noProof/>
            <w:webHidden/>
          </w:rPr>
        </w:r>
        <w:r w:rsidRPr="00FB28DE">
          <w:rPr>
            <w:noProof/>
            <w:webHidden/>
          </w:rPr>
          <w:fldChar w:fldCharType="separate"/>
        </w:r>
        <w:r w:rsidRPr="00FB28DE">
          <w:rPr>
            <w:noProof/>
            <w:webHidden/>
          </w:rPr>
          <w:t>9</w:t>
        </w:r>
        <w:r w:rsidRPr="00FB28DE">
          <w:rPr>
            <w:noProof/>
            <w:webHidden/>
          </w:rPr>
          <w:fldChar w:fldCharType="end"/>
        </w:r>
      </w:hyperlink>
    </w:p>
    <w:p w14:paraId="24C1B2E2" w14:textId="6BEC10C8"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5" w:history="1">
        <w:r w:rsidRPr="00FB28DE">
          <w:rPr>
            <w:rStyle w:val="Hyperlink"/>
            <w:noProof/>
          </w:rPr>
          <w:t>Enhancing national coordination on matters related to Aboriginal and Torres Strait Islander children and young people</w:t>
        </w:r>
        <w:r w:rsidRPr="00FB28DE">
          <w:rPr>
            <w:noProof/>
            <w:webHidden/>
          </w:rPr>
          <w:tab/>
        </w:r>
        <w:r w:rsidRPr="00FB28DE">
          <w:rPr>
            <w:noProof/>
            <w:webHidden/>
          </w:rPr>
          <w:fldChar w:fldCharType="begin"/>
        </w:r>
        <w:r w:rsidRPr="00FB28DE">
          <w:rPr>
            <w:noProof/>
            <w:webHidden/>
          </w:rPr>
          <w:instrText xml:space="preserve"> PAGEREF _Toc199835375 \h </w:instrText>
        </w:r>
        <w:r w:rsidRPr="00FB28DE">
          <w:rPr>
            <w:noProof/>
            <w:webHidden/>
          </w:rPr>
        </w:r>
        <w:r w:rsidRPr="00FB28DE">
          <w:rPr>
            <w:noProof/>
            <w:webHidden/>
          </w:rPr>
          <w:fldChar w:fldCharType="separate"/>
        </w:r>
        <w:r w:rsidRPr="00FB28DE">
          <w:rPr>
            <w:noProof/>
            <w:webHidden/>
          </w:rPr>
          <w:t>9</w:t>
        </w:r>
        <w:r w:rsidRPr="00FB28DE">
          <w:rPr>
            <w:noProof/>
            <w:webHidden/>
          </w:rPr>
          <w:fldChar w:fldCharType="end"/>
        </w:r>
      </w:hyperlink>
    </w:p>
    <w:p w14:paraId="35F83EA6" w14:textId="5BB42021" w:rsidR="00D45710" w:rsidRPr="00FB28DE" w:rsidRDefault="00D45710">
      <w:pPr>
        <w:pStyle w:val="TOC2"/>
        <w:tabs>
          <w:tab w:val="right" w:leader="dot" w:pos="10194"/>
        </w:tabs>
        <w:rPr>
          <w:rFonts w:eastAsiaTheme="minorEastAsia"/>
          <w:noProof/>
          <w:spacing w:val="0"/>
          <w:kern w:val="2"/>
          <w:sz w:val="24"/>
          <w:lang w:eastAsia="en-AU"/>
          <w14:ligatures w14:val="standardContextual"/>
        </w:rPr>
      </w:pPr>
      <w:hyperlink w:anchor="_Toc199835376" w:history="1">
        <w:r w:rsidRPr="00FB28DE">
          <w:rPr>
            <w:rStyle w:val="Hyperlink"/>
            <w:noProof/>
          </w:rPr>
          <w:t>Operating Context</w:t>
        </w:r>
        <w:r w:rsidRPr="00FB28DE">
          <w:rPr>
            <w:noProof/>
            <w:webHidden/>
          </w:rPr>
          <w:tab/>
        </w:r>
        <w:r w:rsidRPr="00FB28DE">
          <w:rPr>
            <w:noProof/>
            <w:webHidden/>
          </w:rPr>
          <w:fldChar w:fldCharType="begin"/>
        </w:r>
        <w:r w:rsidRPr="00FB28DE">
          <w:rPr>
            <w:noProof/>
            <w:webHidden/>
          </w:rPr>
          <w:instrText xml:space="preserve"> PAGEREF _Toc199835376 \h </w:instrText>
        </w:r>
        <w:r w:rsidRPr="00FB28DE">
          <w:rPr>
            <w:noProof/>
            <w:webHidden/>
          </w:rPr>
        </w:r>
        <w:r w:rsidRPr="00FB28DE">
          <w:rPr>
            <w:noProof/>
            <w:webHidden/>
          </w:rPr>
          <w:fldChar w:fldCharType="separate"/>
        </w:r>
        <w:r w:rsidRPr="00FB28DE">
          <w:rPr>
            <w:noProof/>
            <w:webHidden/>
          </w:rPr>
          <w:t>11</w:t>
        </w:r>
        <w:r w:rsidRPr="00FB28DE">
          <w:rPr>
            <w:noProof/>
            <w:webHidden/>
          </w:rPr>
          <w:fldChar w:fldCharType="end"/>
        </w:r>
      </w:hyperlink>
    </w:p>
    <w:p w14:paraId="0F884923" w14:textId="5C954A95"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7" w:history="1">
        <w:r w:rsidRPr="00FB28DE">
          <w:rPr>
            <w:rStyle w:val="Hyperlink"/>
            <w:noProof/>
          </w:rPr>
          <w:t>Environment</w:t>
        </w:r>
        <w:r w:rsidRPr="00FB28DE">
          <w:rPr>
            <w:noProof/>
            <w:webHidden/>
          </w:rPr>
          <w:tab/>
        </w:r>
        <w:r w:rsidRPr="00FB28DE">
          <w:rPr>
            <w:noProof/>
            <w:webHidden/>
          </w:rPr>
          <w:fldChar w:fldCharType="begin"/>
        </w:r>
        <w:r w:rsidRPr="00FB28DE">
          <w:rPr>
            <w:noProof/>
            <w:webHidden/>
          </w:rPr>
          <w:instrText xml:space="preserve"> PAGEREF _Toc199835377 \h </w:instrText>
        </w:r>
        <w:r w:rsidRPr="00FB28DE">
          <w:rPr>
            <w:noProof/>
            <w:webHidden/>
          </w:rPr>
        </w:r>
        <w:r w:rsidRPr="00FB28DE">
          <w:rPr>
            <w:noProof/>
            <w:webHidden/>
          </w:rPr>
          <w:fldChar w:fldCharType="separate"/>
        </w:r>
        <w:r w:rsidRPr="00FB28DE">
          <w:rPr>
            <w:noProof/>
            <w:webHidden/>
          </w:rPr>
          <w:t>11</w:t>
        </w:r>
        <w:r w:rsidRPr="00FB28DE">
          <w:rPr>
            <w:noProof/>
            <w:webHidden/>
          </w:rPr>
          <w:fldChar w:fldCharType="end"/>
        </w:r>
      </w:hyperlink>
    </w:p>
    <w:p w14:paraId="7A6A8D97" w14:textId="730084B0"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8" w:history="1">
        <w:r w:rsidRPr="00FB28DE">
          <w:rPr>
            <w:rStyle w:val="Hyperlink"/>
            <w:noProof/>
          </w:rPr>
          <w:t>Capability</w:t>
        </w:r>
        <w:r w:rsidRPr="00FB28DE">
          <w:rPr>
            <w:noProof/>
            <w:webHidden/>
          </w:rPr>
          <w:tab/>
        </w:r>
        <w:r w:rsidRPr="00FB28DE">
          <w:rPr>
            <w:noProof/>
            <w:webHidden/>
          </w:rPr>
          <w:fldChar w:fldCharType="begin"/>
        </w:r>
        <w:r w:rsidRPr="00FB28DE">
          <w:rPr>
            <w:noProof/>
            <w:webHidden/>
          </w:rPr>
          <w:instrText xml:space="preserve"> PAGEREF _Toc199835378 \h </w:instrText>
        </w:r>
        <w:r w:rsidRPr="00FB28DE">
          <w:rPr>
            <w:noProof/>
            <w:webHidden/>
          </w:rPr>
        </w:r>
        <w:r w:rsidRPr="00FB28DE">
          <w:rPr>
            <w:noProof/>
            <w:webHidden/>
          </w:rPr>
          <w:fldChar w:fldCharType="separate"/>
        </w:r>
        <w:r w:rsidRPr="00FB28DE">
          <w:rPr>
            <w:noProof/>
            <w:webHidden/>
          </w:rPr>
          <w:t>14</w:t>
        </w:r>
        <w:r w:rsidRPr="00FB28DE">
          <w:rPr>
            <w:noProof/>
            <w:webHidden/>
          </w:rPr>
          <w:fldChar w:fldCharType="end"/>
        </w:r>
      </w:hyperlink>
    </w:p>
    <w:p w14:paraId="64C6DDCD" w14:textId="178BBA5E"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79" w:history="1">
        <w:r w:rsidRPr="00FB28DE">
          <w:rPr>
            <w:rStyle w:val="Hyperlink"/>
            <w:noProof/>
          </w:rPr>
          <w:t>Risk</w:t>
        </w:r>
        <w:r w:rsidRPr="00FB28DE">
          <w:rPr>
            <w:noProof/>
            <w:webHidden/>
          </w:rPr>
          <w:tab/>
        </w:r>
        <w:r w:rsidRPr="00FB28DE">
          <w:rPr>
            <w:noProof/>
            <w:webHidden/>
          </w:rPr>
          <w:fldChar w:fldCharType="begin"/>
        </w:r>
        <w:r w:rsidRPr="00FB28DE">
          <w:rPr>
            <w:noProof/>
            <w:webHidden/>
          </w:rPr>
          <w:instrText xml:space="preserve"> PAGEREF _Toc199835379 \h </w:instrText>
        </w:r>
        <w:r w:rsidRPr="00FB28DE">
          <w:rPr>
            <w:noProof/>
            <w:webHidden/>
          </w:rPr>
        </w:r>
        <w:r w:rsidRPr="00FB28DE">
          <w:rPr>
            <w:noProof/>
            <w:webHidden/>
          </w:rPr>
          <w:fldChar w:fldCharType="separate"/>
        </w:r>
        <w:r w:rsidRPr="00FB28DE">
          <w:rPr>
            <w:noProof/>
            <w:webHidden/>
          </w:rPr>
          <w:t>15</w:t>
        </w:r>
        <w:r w:rsidRPr="00FB28DE">
          <w:rPr>
            <w:noProof/>
            <w:webHidden/>
          </w:rPr>
          <w:fldChar w:fldCharType="end"/>
        </w:r>
      </w:hyperlink>
    </w:p>
    <w:p w14:paraId="3C37FCBB" w14:textId="5A6DF14E"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80" w:history="1">
        <w:r w:rsidRPr="00FB28DE">
          <w:rPr>
            <w:rStyle w:val="Hyperlink"/>
            <w:noProof/>
          </w:rPr>
          <w:t>Cooperation and collaboration</w:t>
        </w:r>
        <w:r w:rsidRPr="00FB28DE">
          <w:rPr>
            <w:noProof/>
            <w:webHidden/>
          </w:rPr>
          <w:tab/>
        </w:r>
        <w:r w:rsidRPr="00FB28DE">
          <w:rPr>
            <w:noProof/>
            <w:webHidden/>
          </w:rPr>
          <w:fldChar w:fldCharType="begin"/>
        </w:r>
        <w:r w:rsidRPr="00FB28DE">
          <w:rPr>
            <w:noProof/>
            <w:webHidden/>
          </w:rPr>
          <w:instrText xml:space="preserve"> PAGEREF _Toc199835380 \h </w:instrText>
        </w:r>
        <w:r w:rsidRPr="00FB28DE">
          <w:rPr>
            <w:noProof/>
            <w:webHidden/>
          </w:rPr>
        </w:r>
        <w:r w:rsidRPr="00FB28DE">
          <w:rPr>
            <w:noProof/>
            <w:webHidden/>
          </w:rPr>
          <w:fldChar w:fldCharType="separate"/>
        </w:r>
        <w:r w:rsidRPr="00FB28DE">
          <w:rPr>
            <w:noProof/>
            <w:webHidden/>
          </w:rPr>
          <w:t>16</w:t>
        </w:r>
        <w:r w:rsidRPr="00FB28DE">
          <w:rPr>
            <w:noProof/>
            <w:webHidden/>
          </w:rPr>
          <w:fldChar w:fldCharType="end"/>
        </w:r>
      </w:hyperlink>
    </w:p>
    <w:p w14:paraId="4AE7640E" w14:textId="369B0E3C" w:rsidR="00D45710" w:rsidRPr="00FB28DE" w:rsidRDefault="00D45710">
      <w:pPr>
        <w:pStyle w:val="TOC2"/>
        <w:tabs>
          <w:tab w:val="right" w:leader="dot" w:pos="10194"/>
        </w:tabs>
        <w:rPr>
          <w:rFonts w:eastAsiaTheme="minorEastAsia"/>
          <w:noProof/>
          <w:spacing w:val="0"/>
          <w:kern w:val="2"/>
          <w:sz w:val="24"/>
          <w:lang w:eastAsia="en-AU"/>
          <w14:ligatures w14:val="standardContextual"/>
        </w:rPr>
      </w:pPr>
      <w:hyperlink w:anchor="_Toc199835381" w:history="1">
        <w:r w:rsidRPr="00FB28DE">
          <w:rPr>
            <w:rStyle w:val="Hyperlink"/>
            <w:noProof/>
          </w:rPr>
          <w:t>Performance</w:t>
        </w:r>
        <w:r w:rsidRPr="00FB28DE">
          <w:rPr>
            <w:noProof/>
            <w:webHidden/>
          </w:rPr>
          <w:tab/>
        </w:r>
        <w:r w:rsidRPr="00FB28DE">
          <w:rPr>
            <w:noProof/>
            <w:webHidden/>
          </w:rPr>
          <w:fldChar w:fldCharType="begin"/>
        </w:r>
        <w:r w:rsidRPr="00FB28DE">
          <w:rPr>
            <w:noProof/>
            <w:webHidden/>
          </w:rPr>
          <w:instrText xml:space="preserve"> PAGEREF _Toc199835381 \h </w:instrText>
        </w:r>
        <w:r w:rsidRPr="00FB28DE">
          <w:rPr>
            <w:noProof/>
            <w:webHidden/>
          </w:rPr>
        </w:r>
        <w:r w:rsidRPr="00FB28DE">
          <w:rPr>
            <w:noProof/>
            <w:webHidden/>
          </w:rPr>
          <w:fldChar w:fldCharType="separate"/>
        </w:r>
        <w:r w:rsidRPr="00FB28DE">
          <w:rPr>
            <w:noProof/>
            <w:webHidden/>
          </w:rPr>
          <w:t>18</w:t>
        </w:r>
        <w:r w:rsidRPr="00FB28DE">
          <w:rPr>
            <w:noProof/>
            <w:webHidden/>
          </w:rPr>
          <w:fldChar w:fldCharType="end"/>
        </w:r>
      </w:hyperlink>
    </w:p>
    <w:p w14:paraId="29F649EC" w14:textId="391B71E2" w:rsidR="00D45710" w:rsidRPr="00FB28DE" w:rsidRDefault="00D45710">
      <w:pPr>
        <w:pStyle w:val="TOC3"/>
        <w:tabs>
          <w:tab w:val="right" w:leader="dot" w:pos="10194"/>
        </w:tabs>
        <w:rPr>
          <w:rFonts w:eastAsiaTheme="minorEastAsia"/>
          <w:noProof/>
          <w:spacing w:val="0"/>
          <w:kern w:val="2"/>
          <w:sz w:val="24"/>
          <w:lang w:eastAsia="en-AU"/>
          <w14:ligatures w14:val="standardContextual"/>
        </w:rPr>
      </w:pPr>
      <w:hyperlink w:anchor="_Toc199835382" w:history="1">
        <w:r w:rsidRPr="00FB28DE">
          <w:rPr>
            <w:rStyle w:val="Hyperlink"/>
            <w:noProof/>
          </w:rPr>
          <w:t>Performance Measures and Indicators of Success</w:t>
        </w:r>
        <w:r w:rsidRPr="00FB28DE">
          <w:rPr>
            <w:noProof/>
            <w:webHidden/>
          </w:rPr>
          <w:tab/>
        </w:r>
        <w:r w:rsidRPr="00FB28DE">
          <w:rPr>
            <w:noProof/>
            <w:webHidden/>
          </w:rPr>
          <w:fldChar w:fldCharType="begin"/>
        </w:r>
        <w:r w:rsidRPr="00FB28DE">
          <w:rPr>
            <w:noProof/>
            <w:webHidden/>
          </w:rPr>
          <w:instrText xml:space="preserve"> PAGEREF _Toc199835382 \h </w:instrText>
        </w:r>
        <w:r w:rsidRPr="00FB28DE">
          <w:rPr>
            <w:noProof/>
            <w:webHidden/>
          </w:rPr>
        </w:r>
        <w:r w:rsidRPr="00FB28DE">
          <w:rPr>
            <w:noProof/>
            <w:webHidden/>
          </w:rPr>
          <w:fldChar w:fldCharType="separate"/>
        </w:r>
        <w:r w:rsidRPr="00FB28DE">
          <w:rPr>
            <w:noProof/>
            <w:webHidden/>
          </w:rPr>
          <w:t>18</w:t>
        </w:r>
        <w:r w:rsidRPr="00FB28DE">
          <w:rPr>
            <w:noProof/>
            <w:webHidden/>
          </w:rPr>
          <w:fldChar w:fldCharType="end"/>
        </w:r>
      </w:hyperlink>
    </w:p>
    <w:p w14:paraId="06824BF4" w14:textId="66002FA4" w:rsidR="00ED09CB" w:rsidRPr="00FB28DE" w:rsidRDefault="00C848CA">
      <w:pPr>
        <w:spacing w:after="240"/>
        <w:rPr>
          <w:rFonts w:asciiTheme="majorHAnsi" w:eastAsiaTheme="majorEastAsia" w:hAnsiTheme="majorHAnsi" w:cstheme="majorBidi"/>
          <w:bCs/>
          <w:color w:val="4C41A0" w:themeColor="accent1"/>
          <w:sz w:val="40"/>
          <w:szCs w:val="26"/>
        </w:rPr>
      </w:pPr>
      <w:r w:rsidRPr="00FB28DE">
        <w:fldChar w:fldCharType="end"/>
      </w:r>
      <w:r w:rsidR="00ED09CB" w:rsidRPr="00FB28DE">
        <w:br w:type="page"/>
      </w:r>
    </w:p>
    <w:p w14:paraId="4FA05AE8" w14:textId="5B5A3989" w:rsidR="00F31960" w:rsidRPr="00FB28DE" w:rsidRDefault="00F31960" w:rsidP="00F31960">
      <w:pPr>
        <w:pStyle w:val="Heading2"/>
      </w:pPr>
      <w:bookmarkStart w:id="5" w:name="_Toc199835367"/>
      <w:bookmarkEnd w:id="3"/>
      <w:bookmarkEnd w:id="4"/>
      <w:r w:rsidRPr="00FB28DE">
        <w:lastRenderedPageBreak/>
        <w:t>National Commissioner’s Foreword</w:t>
      </w:r>
      <w:bookmarkEnd w:id="5"/>
    </w:p>
    <w:p w14:paraId="7CF149A6" w14:textId="07201EF6" w:rsidR="005B08F2" w:rsidRPr="00FB28DE" w:rsidRDefault="006004AD" w:rsidP="006B77BA">
      <w:pPr>
        <w:rPr>
          <w:noProof/>
        </w:rPr>
      </w:pPr>
      <w:r w:rsidRPr="00FB28DE">
        <w:rPr>
          <w:noProof/>
        </w:rPr>
        <w:drawing>
          <wp:anchor distT="0" distB="0" distL="114300" distR="114300" simplePos="0" relativeHeight="251658241" behindDoc="1" locked="0" layoutInCell="1" allowOverlap="1" wp14:anchorId="71AC6D8D" wp14:editId="0CC4D584">
            <wp:simplePos x="0" y="0"/>
            <wp:positionH relativeFrom="margin">
              <wp:posOffset>4545965</wp:posOffset>
            </wp:positionH>
            <wp:positionV relativeFrom="paragraph">
              <wp:posOffset>29210</wp:posOffset>
            </wp:positionV>
            <wp:extent cx="2117725" cy="2117725"/>
            <wp:effectExtent l="38100" t="19050" r="34925" b="15875"/>
            <wp:wrapSquare wrapText="bothSides"/>
            <wp:docPr id="1026" name="Picture 2" descr="photo of Lil Gordon">
              <a:extLst xmlns:a="http://schemas.openxmlformats.org/drawingml/2006/main">
                <a:ext uri="{FF2B5EF4-FFF2-40B4-BE49-F238E27FC236}">
                  <a16:creationId xmlns:a16="http://schemas.microsoft.com/office/drawing/2014/main" id="{B892B1C6-71BC-3E17-BC6A-B7268A23A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hoto of Lil Gordon">
                      <a:extLst>
                        <a:ext uri="{FF2B5EF4-FFF2-40B4-BE49-F238E27FC236}">
                          <a16:creationId xmlns:a16="http://schemas.microsoft.com/office/drawing/2014/main" id="{B892B1C6-71BC-3E17-BC6A-B7268A23ABAF}"/>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7725" cy="2117725"/>
                    </a:xfrm>
                    <a:custGeom>
                      <a:avLst/>
                      <a:gdLst>
                        <a:gd name="connsiteX0" fmla="*/ 0 w 3292397"/>
                        <a:gd name="connsiteY0" fmla="*/ 0 h 3292397"/>
                        <a:gd name="connsiteX1" fmla="*/ 559707 w 3292397"/>
                        <a:gd name="connsiteY1" fmla="*/ 0 h 3292397"/>
                        <a:gd name="connsiteX2" fmla="*/ 1251111 w 3292397"/>
                        <a:gd name="connsiteY2" fmla="*/ 0 h 3292397"/>
                        <a:gd name="connsiteX3" fmla="*/ 1975438 w 3292397"/>
                        <a:gd name="connsiteY3" fmla="*/ 0 h 3292397"/>
                        <a:gd name="connsiteX4" fmla="*/ 2633918 w 3292397"/>
                        <a:gd name="connsiteY4" fmla="*/ 0 h 3292397"/>
                        <a:gd name="connsiteX5" fmla="*/ 3292397 w 3292397"/>
                        <a:gd name="connsiteY5" fmla="*/ 0 h 3292397"/>
                        <a:gd name="connsiteX6" fmla="*/ 3292397 w 3292397"/>
                        <a:gd name="connsiteY6" fmla="*/ 691403 h 3292397"/>
                        <a:gd name="connsiteX7" fmla="*/ 3292397 w 3292397"/>
                        <a:gd name="connsiteY7" fmla="*/ 1382807 h 3292397"/>
                        <a:gd name="connsiteX8" fmla="*/ 3292397 w 3292397"/>
                        <a:gd name="connsiteY8" fmla="*/ 1942514 h 3292397"/>
                        <a:gd name="connsiteX9" fmla="*/ 3292397 w 3292397"/>
                        <a:gd name="connsiteY9" fmla="*/ 2666842 h 3292397"/>
                        <a:gd name="connsiteX10" fmla="*/ 3292397 w 3292397"/>
                        <a:gd name="connsiteY10" fmla="*/ 3292397 h 3292397"/>
                        <a:gd name="connsiteX11" fmla="*/ 2633918 w 3292397"/>
                        <a:gd name="connsiteY11" fmla="*/ 3292397 h 3292397"/>
                        <a:gd name="connsiteX12" fmla="*/ 1975438 w 3292397"/>
                        <a:gd name="connsiteY12" fmla="*/ 3292397 h 3292397"/>
                        <a:gd name="connsiteX13" fmla="*/ 1382807 w 3292397"/>
                        <a:gd name="connsiteY13" fmla="*/ 3292397 h 3292397"/>
                        <a:gd name="connsiteX14" fmla="*/ 658479 w 3292397"/>
                        <a:gd name="connsiteY14" fmla="*/ 3292397 h 3292397"/>
                        <a:gd name="connsiteX15" fmla="*/ 0 w 3292397"/>
                        <a:gd name="connsiteY15" fmla="*/ 3292397 h 3292397"/>
                        <a:gd name="connsiteX16" fmla="*/ 0 w 3292397"/>
                        <a:gd name="connsiteY16" fmla="*/ 2633918 h 3292397"/>
                        <a:gd name="connsiteX17" fmla="*/ 0 w 3292397"/>
                        <a:gd name="connsiteY17" fmla="*/ 2008362 h 3292397"/>
                        <a:gd name="connsiteX18" fmla="*/ 0 w 3292397"/>
                        <a:gd name="connsiteY18" fmla="*/ 1415731 h 3292397"/>
                        <a:gd name="connsiteX19" fmla="*/ 0 w 3292397"/>
                        <a:gd name="connsiteY19" fmla="*/ 724327 h 3292397"/>
                        <a:gd name="connsiteX20" fmla="*/ 0 w 3292397"/>
                        <a:gd name="connsiteY20" fmla="*/ 0 h 3292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292397" h="3292397" fill="none" extrusionOk="0">
                          <a:moveTo>
                            <a:pt x="0" y="0"/>
                          </a:moveTo>
                          <a:cubicBezTo>
                            <a:pt x="185745" y="-24969"/>
                            <a:pt x="408583" y="13682"/>
                            <a:pt x="559707" y="0"/>
                          </a:cubicBezTo>
                          <a:cubicBezTo>
                            <a:pt x="710831" y="-13682"/>
                            <a:pt x="1026092" y="-21972"/>
                            <a:pt x="1251111" y="0"/>
                          </a:cubicBezTo>
                          <a:cubicBezTo>
                            <a:pt x="1476130" y="21972"/>
                            <a:pt x="1714247" y="-31495"/>
                            <a:pt x="1975438" y="0"/>
                          </a:cubicBezTo>
                          <a:cubicBezTo>
                            <a:pt x="2236629" y="31495"/>
                            <a:pt x="2479731" y="-29225"/>
                            <a:pt x="2633918" y="0"/>
                          </a:cubicBezTo>
                          <a:cubicBezTo>
                            <a:pt x="2788105" y="29225"/>
                            <a:pt x="3037048" y="-3344"/>
                            <a:pt x="3292397" y="0"/>
                          </a:cubicBezTo>
                          <a:cubicBezTo>
                            <a:pt x="3324255" y="296662"/>
                            <a:pt x="3267794" y="530864"/>
                            <a:pt x="3292397" y="691403"/>
                          </a:cubicBezTo>
                          <a:cubicBezTo>
                            <a:pt x="3317000" y="851942"/>
                            <a:pt x="3274081" y="1158618"/>
                            <a:pt x="3292397" y="1382807"/>
                          </a:cubicBezTo>
                          <a:cubicBezTo>
                            <a:pt x="3310713" y="1606996"/>
                            <a:pt x="3268878" y="1694248"/>
                            <a:pt x="3292397" y="1942514"/>
                          </a:cubicBezTo>
                          <a:cubicBezTo>
                            <a:pt x="3315916" y="2190780"/>
                            <a:pt x="3312174" y="2437048"/>
                            <a:pt x="3292397" y="2666842"/>
                          </a:cubicBezTo>
                          <a:cubicBezTo>
                            <a:pt x="3272620" y="2896636"/>
                            <a:pt x="3317612" y="3009419"/>
                            <a:pt x="3292397" y="3292397"/>
                          </a:cubicBezTo>
                          <a:cubicBezTo>
                            <a:pt x="2963228" y="3295738"/>
                            <a:pt x="2793749" y="3297525"/>
                            <a:pt x="2633918" y="3292397"/>
                          </a:cubicBezTo>
                          <a:cubicBezTo>
                            <a:pt x="2474087" y="3287269"/>
                            <a:pt x="2222399" y="3311899"/>
                            <a:pt x="1975438" y="3292397"/>
                          </a:cubicBezTo>
                          <a:cubicBezTo>
                            <a:pt x="1728477" y="3272895"/>
                            <a:pt x="1533500" y="3265665"/>
                            <a:pt x="1382807" y="3292397"/>
                          </a:cubicBezTo>
                          <a:cubicBezTo>
                            <a:pt x="1232114" y="3319129"/>
                            <a:pt x="1003882" y="3294948"/>
                            <a:pt x="658479" y="3292397"/>
                          </a:cubicBezTo>
                          <a:cubicBezTo>
                            <a:pt x="313076" y="3289846"/>
                            <a:pt x="283950" y="3294460"/>
                            <a:pt x="0" y="3292397"/>
                          </a:cubicBezTo>
                          <a:cubicBezTo>
                            <a:pt x="5191" y="3151034"/>
                            <a:pt x="17159" y="2935032"/>
                            <a:pt x="0" y="2633918"/>
                          </a:cubicBezTo>
                          <a:cubicBezTo>
                            <a:pt x="-17159" y="2332804"/>
                            <a:pt x="-18235" y="2164663"/>
                            <a:pt x="0" y="2008362"/>
                          </a:cubicBezTo>
                          <a:cubicBezTo>
                            <a:pt x="18235" y="1852061"/>
                            <a:pt x="20304" y="1676552"/>
                            <a:pt x="0" y="1415731"/>
                          </a:cubicBezTo>
                          <a:cubicBezTo>
                            <a:pt x="-20304" y="1154910"/>
                            <a:pt x="-25790" y="1025062"/>
                            <a:pt x="0" y="724327"/>
                          </a:cubicBezTo>
                          <a:cubicBezTo>
                            <a:pt x="25790" y="423592"/>
                            <a:pt x="4132" y="306678"/>
                            <a:pt x="0" y="0"/>
                          </a:cubicBezTo>
                          <a:close/>
                        </a:path>
                        <a:path w="3292397" h="3292397" stroke="0" extrusionOk="0">
                          <a:moveTo>
                            <a:pt x="0" y="0"/>
                          </a:moveTo>
                          <a:cubicBezTo>
                            <a:pt x="132840" y="-1735"/>
                            <a:pt x="478986" y="11964"/>
                            <a:pt x="658479" y="0"/>
                          </a:cubicBezTo>
                          <a:cubicBezTo>
                            <a:pt x="837972" y="-11964"/>
                            <a:pt x="1068580" y="-8588"/>
                            <a:pt x="1218187" y="0"/>
                          </a:cubicBezTo>
                          <a:cubicBezTo>
                            <a:pt x="1367794" y="8588"/>
                            <a:pt x="1637454" y="-8177"/>
                            <a:pt x="1777894" y="0"/>
                          </a:cubicBezTo>
                          <a:cubicBezTo>
                            <a:pt x="1918334" y="8177"/>
                            <a:pt x="2168165" y="-17820"/>
                            <a:pt x="2502222" y="0"/>
                          </a:cubicBezTo>
                          <a:cubicBezTo>
                            <a:pt x="2836279" y="17820"/>
                            <a:pt x="2988733" y="-17159"/>
                            <a:pt x="3292397" y="0"/>
                          </a:cubicBezTo>
                          <a:cubicBezTo>
                            <a:pt x="3268000" y="241171"/>
                            <a:pt x="3295681" y="470521"/>
                            <a:pt x="3292397" y="592631"/>
                          </a:cubicBezTo>
                          <a:cubicBezTo>
                            <a:pt x="3289113" y="714741"/>
                            <a:pt x="3295696" y="996281"/>
                            <a:pt x="3292397" y="1284035"/>
                          </a:cubicBezTo>
                          <a:cubicBezTo>
                            <a:pt x="3289098" y="1571789"/>
                            <a:pt x="3321807" y="1623092"/>
                            <a:pt x="3292397" y="1942514"/>
                          </a:cubicBezTo>
                          <a:cubicBezTo>
                            <a:pt x="3262987" y="2261936"/>
                            <a:pt x="3268425" y="2272244"/>
                            <a:pt x="3292397" y="2502222"/>
                          </a:cubicBezTo>
                          <a:cubicBezTo>
                            <a:pt x="3316369" y="2732200"/>
                            <a:pt x="3324679" y="2998211"/>
                            <a:pt x="3292397" y="3292397"/>
                          </a:cubicBezTo>
                          <a:cubicBezTo>
                            <a:pt x="3034161" y="3304468"/>
                            <a:pt x="2850572" y="3283800"/>
                            <a:pt x="2732690" y="3292397"/>
                          </a:cubicBezTo>
                          <a:cubicBezTo>
                            <a:pt x="2614808" y="3300994"/>
                            <a:pt x="2292775" y="3319986"/>
                            <a:pt x="2140058" y="3292397"/>
                          </a:cubicBezTo>
                          <a:cubicBezTo>
                            <a:pt x="1987341" y="3264808"/>
                            <a:pt x="1690926" y="3318577"/>
                            <a:pt x="1481579" y="3292397"/>
                          </a:cubicBezTo>
                          <a:cubicBezTo>
                            <a:pt x="1272232" y="3266217"/>
                            <a:pt x="1039646" y="3312403"/>
                            <a:pt x="856023" y="3292397"/>
                          </a:cubicBezTo>
                          <a:cubicBezTo>
                            <a:pt x="672400" y="3272391"/>
                            <a:pt x="423919" y="3324959"/>
                            <a:pt x="0" y="3292397"/>
                          </a:cubicBezTo>
                          <a:cubicBezTo>
                            <a:pt x="-24009" y="3123403"/>
                            <a:pt x="18985" y="2867936"/>
                            <a:pt x="0" y="2568070"/>
                          </a:cubicBezTo>
                          <a:cubicBezTo>
                            <a:pt x="-18985" y="2268204"/>
                            <a:pt x="748" y="2193593"/>
                            <a:pt x="0" y="1843742"/>
                          </a:cubicBezTo>
                          <a:cubicBezTo>
                            <a:pt x="-748" y="1493891"/>
                            <a:pt x="22731" y="1446264"/>
                            <a:pt x="0" y="1119415"/>
                          </a:cubicBezTo>
                          <a:cubicBezTo>
                            <a:pt x="-22731" y="792566"/>
                            <a:pt x="-20929" y="437121"/>
                            <a:pt x="0" y="0"/>
                          </a:cubicBezTo>
                          <a:close/>
                        </a:path>
                      </a:pathLst>
                    </a:custGeom>
                    <a:ln w="19050">
                      <a:solidFill>
                        <a:srgbClr val="55446F"/>
                      </a:solidFill>
                    </a:ln>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6B77BA" w:rsidRPr="00FB28DE">
        <w:t>As the Acting National Commissioner</w:t>
      </w:r>
      <w:r w:rsidR="006D7BE5" w:rsidRPr="00FB28DE">
        <w:t xml:space="preserve"> for Aboriginal and Torres Strait Islander Children and Young People (National Commissioner)</w:t>
      </w:r>
      <w:r w:rsidR="006B77BA" w:rsidRPr="00FB28DE">
        <w:t xml:space="preserve">, I am </w:t>
      </w:r>
      <w:r w:rsidR="57E9198A" w:rsidRPr="00FB28DE">
        <w:t xml:space="preserve">pleased </w:t>
      </w:r>
      <w:r w:rsidR="006B77BA" w:rsidRPr="00FB28DE">
        <w:t>to present the inaugural corporate plan for the National Commission for Aboriginal and Torres Strait Islander Children and Young People</w:t>
      </w:r>
      <w:r w:rsidR="006D7BE5" w:rsidRPr="00FB28DE">
        <w:t xml:space="preserve"> (National Commission)</w:t>
      </w:r>
      <w:r w:rsidR="00980E4A" w:rsidRPr="00FB28DE">
        <w:t>,</w:t>
      </w:r>
      <w:r w:rsidR="00964376" w:rsidRPr="00FB28DE">
        <w:t xml:space="preserve"> </w:t>
      </w:r>
      <w:r w:rsidR="00512727" w:rsidRPr="00FB28DE">
        <w:t xml:space="preserve">which covers the periods of 2024–25 to 2027–28, as required under paragraph 35(1)(b) of the </w:t>
      </w:r>
      <w:r w:rsidR="00512727" w:rsidRPr="00FB28DE">
        <w:rPr>
          <w:i/>
          <w:iCs/>
        </w:rPr>
        <w:t>Public Governance, Performance and Accountability Act 2013</w:t>
      </w:r>
      <w:r w:rsidR="00512727" w:rsidRPr="00FB28DE">
        <w:t xml:space="preserve">. </w:t>
      </w:r>
      <w:r w:rsidR="008A038F" w:rsidRPr="00FB28DE">
        <w:rPr>
          <w:noProof/>
        </w:rPr>
        <w:t xml:space="preserve"> </w:t>
      </w:r>
    </w:p>
    <w:p w14:paraId="11C8BCB3" w14:textId="4CE7287D" w:rsidR="00591DC6" w:rsidRPr="00FB28DE" w:rsidRDefault="00591DC6" w:rsidP="005B08F2">
      <w:r w:rsidRPr="00FB28DE">
        <w:t>The National Commission commenced operations on 13</w:t>
      </w:r>
      <w:r w:rsidR="00800129" w:rsidRPr="00FB28DE">
        <w:t> </w:t>
      </w:r>
      <w:r w:rsidRPr="00FB28DE">
        <w:t>January</w:t>
      </w:r>
      <w:r w:rsidR="00800129" w:rsidRPr="00FB28DE">
        <w:t> </w:t>
      </w:r>
      <w:r w:rsidRPr="00FB28DE">
        <w:t>2025 as a separate and independent entity within the Social Services portfolio.</w:t>
      </w:r>
      <w:r w:rsidR="005E02C6" w:rsidRPr="00FB28DE">
        <w:t xml:space="preserve"> In </w:t>
      </w:r>
      <w:r w:rsidR="0009099A" w:rsidRPr="00FB28DE">
        <w:t>the</w:t>
      </w:r>
      <w:r w:rsidR="005E02C6" w:rsidRPr="00FB28DE">
        <w:t xml:space="preserve"> early </w:t>
      </w:r>
      <w:r w:rsidR="0009099A" w:rsidRPr="00FB28DE">
        <w:t>stages of our establishment, we are setting</w:t>
      </w:r>
      <w:r w:rsidR="005E02C6" w:rsidRPr="00FB28DE">
        <w:t xml:space="preserve"> the administrative and corporate foundations of a functioning independent non</w:t>
      </w:r>
      <w:r w:rsidR="003965DE" w:rsidRPr="00FB28DE">
        <w:noBreakHyphen/>
      </w:r>
      <w:r w:rsidR="005E02C6" w:rsidRPr="00FB28DE">
        <w:t xml:space="preserve">corporate </w:t>
      </w:r>
      <w:r w:rsidR="009A63F2" w:rsidRPr="00FB28DE">
        <w:t>C</w:t>
      </w:r>
      <w:r w:rsidR="005E02C6" w:rsidRPr="00FB28DE">
        <w:t xml:space="preserve">ommonwealth entity </w:t>
      </w:r>
      <w:r w:rsidR="008922E7" w:rsidRPr="00FB28DE">
        <w:t xml:space="preserve">and </w:t>
      </w:r>
      <w:r w:rsidR="009B7A16" w:rsidRPr="00FB28DE">
        <w:t>consulting with key stakeholders to identify actions to enable each function outlined in our executive order.</w:t>
      </w:r>
    </w:p>
    <w:p w14:paraId="4D291E7F" w14:textId="7FB4FBB9" w:rsidR="005B08F2" w:rsidRPr="00FB28DE" w:rsidRDefault="005B08F2" w:rsidP="005B08F2">
      <w:r w:rsidRPr="00FB28DE">
        <w:t>Our first corporate plan sets the foundations for robust governance, meaningful partnerships, and a program of work that will define how the National Commission develops into the strong, effective</w:t>
      </w:r>
      <w:r w:rsidR="00EB4A74" w:rsidRPr="00FB28DE">
        <w:t xml:space="preserve"> </w:t>
      </w:r>
      <w:r w:rsidRPr="00FB28DE">
        <w:t xml:space="preserve">entity needed to make real progress </w:t>
      </w:r>
      <w:r w:rsidR="00E82D0C" w:rsidRPr="00FB28DE">
        <w:t>for, and with,</w:t>
      </w:r>
      <w:r w:rsidR="00C91964" w:rsidRPr="00FB28DE">
        <w:t xml:space="preserve"> Aboriginal and Torres Strait Islander children and young people</w:t>
      </w:r>
      <w:r w:rsidRPr="00FB28DE">
        <w:t xml:space="preserve">. This plan sets out our purpose, key activities, and how we will measure our performance in </w:t>
      </w:r>
      <w:r w:rsidR="008707A6" w:rsidRPr="00FB28DE">
        <w:t>this early</w:t>
      </w:r>
      <w:r w:rsidRPr="00FB28DE">
        <w:t xml:space="preserve"> phase.</w:t>
      </w:r>
    </w:p>
    <w:p w14:paraId="727BA0D1" w14:textId="42C75AAA" w:rsidR="008D49EC" w:rsidRPr="00FB28DE" w:rsidRDefault="006B77BA" w:rsidP="006B77BA">
      <w:r w:rsidRPr="00FB28DE">
        <w:t>The National Commission has been established in recognition of a simple truth: that Aboriginal and Torres Strait Islander children and young people have the right to grow up safe, connected to culture, supported by community, and empowered to thrive.</w:t>
      </w:r>
      <w:r w:rsidR="00A56A10" w:rsidRPr="00FB28DE">
        <w:t xml:space="preserve"> </w:t>
      </w:r>
      <w:r w:rsidR="0059770C" w:rsidRPr="00FB28DE">
        <w:t>At</w:t>
      </w:r>
      <w:r w:rsidR="00C95B91" w:rsidRPr="00FB28DE">
        <w:t xml:space="preserve"> </w:t>
      </w:r>
      <w:r w:rsidR="001E474C" w:rsidRPr="00FB28DE">
        <w:t xml:space="preserve">our heart </w:t>
      </w:r>
      <w:r w:rsidR="0059770C" w:rsidRPr="00FB28DE">
        <w:t>is</w:t>
      </w:r>
      <w:r w:rsidR="00E86448" w:rsidRPr="00FB28DE">
        <w:t xml:space="preserve"> </w:t>
      </w:r>
      <w:r w:rsidR="008C7DEA" w:rsidRPr="00FB28DE">
        <w:t>a</w:t>
      </w:r>
      <w:r w:rsidR="00E86448" w:rsidRPr="00FB28DE">
        <w:t xml:space="preserve"> commitment to ensuring that the voices of Aboriginal and Torres Strait Islander children and young people </w:t>
      </w:r>
      <w:r w:rsidR="00AD42EB" w:rsidRPr="00FB28DE">
        <w:t>are</w:t>
      </w:r>
      <w:r w:rsidR="009528F8" w:rsidRPr="00FB28DE">
        <w:t xml:space="preserve"> central to</w:t>
      </w:r>
      <w:r w:rsidR="008167F5" w:rsidRPr="00FB28DE">
        <w:t xml:space="preserve"> </w:t>
      </w:r>
      <w:r w:rsidR="00B63C07" w:rsidRPr="00FB28DE">
        <w:t>our ways of working</w:t>
      </w:r>
      <w:r w:rsidR="008C7DEA" w:rsidRPr="00FB28DE">
        <w:t xml:space="preserve">. </w:t>
      </w:r>
      <w:r w:rsidR="00BA69D4" w:rsidRPr="00FB28DE">
        <w:t xml:space="preserve">We will be </w:t>
      </w:r>
      <w:r w:rsidR="0078572E" w:rsidRPr="00FB28DE">
        <w:t>determined</w:t>
      </w:r>
      <w:r w:rsidR="00BA69D4" w:rsidRPr="00FB28DE">
        <w:t xml:space="preserve"> in our efforts to ensure that their interests</w:t>
      </w:r>
      <w:r w:rsidR="00450B99" w:rsidRPr="00FB28DE">
        <w:t>, their needs</w:t>
      </w:r>
      <w:r w:rsidR="00AE62AD" w:rsidRPr="00FB28DE">
        <w:t>, and their stories</w:t>
      </w:r>
      <w:r w:rsidR="00450B99" w:rsidRPr="00FB28DE">
        <w:t xml:space="preserve"> </w:t>
      </w:r>
      <w:r w:rsidR="00AE62AD" w:rsidRPr="00FB28DE">
        <w:t>are</w:t>
      </w:r>
      <w:r w:rsidR="00450B99" w:rsidRPr="00FB28DE">
        <w:t xml:space="preserve"> represented and prioritised in the decisions that affect their lives.</w:t>
      </w:r>
    </w:p>
    <w:p w14:paraId="4DE069E6" w14:textId="0D21EA57" w:rsidR="00D411F8" w:rsidRPr="00FB28DE" w:rsidRDefault="00D411F8" w:rsidP="00D411F8">
      <w:r w:rsidRPr="00FB28DE">
        <w:t xml:space="preserve">Aboriginal and Torres Strait Islander Elders, advocates, and young people themselves have </w:t>
      </w:r>
      <w:r w:rsidR="00A42162" w:rsidRPr="00FB28DE">
        <w:t>always shown</w:t>
      </w:r>
      <w:r w:rsidRPr="00FB28DE">
        <w:t xml:space="preserve"> up with courage and determination to fight for what is right and just</w:t>
      </w:r>
      <w:r w:rsidR="005F3359" w:rsidRPr="00FB28DE">
        <w:t xml:space="preserve">. </w:t>
      </w:r>
      <w:r w:rsidR="009743EC" w:rsidRPr="00FB28DE">
        <w:t>Leaders in this space</w:t>
      </w:r>
      <w:r w:rsidR="005F3359" w:rsidRPr="00FB28DE">
        <w:t xml:space="preserve"> have long called for a role like the National Commissioner to hold governments</w:t>
      </w:r>
      <w:r w:rsidR="00C50A3A" w:rsidRPr="00FB28DE">
        <w:t xml:space="preserve"> and systems</w:t>
      </w:r>
      <w:r w:rsidR="005F3359" w:rsidRPr="00FB28DE">
        <w:t xml:space="preserve"> to account. </w:t>
      </w:r>
      <w:r w:rsidR="00BF5DC6" w:rsidRPr="00FB28DE">
        <w:t>The National Commission is</w:t>
      </w:r>
      <w:r w:rsidR="005F3359" w:rsidRPr="00FB28DE">
        <w:t xml:space="preserve"> here today because of their </w:t>
      </w:r>
      <w:r w:rsidR="00C50A3A" w:rsidRPr="00FB28DE">
        <w:t>staying power</w:t>
      </w:r>
      <w:r w:rsidR="005F3359" w:rsidRPr="00FB28DE">
        <w:t>, tenacity, and unwavering commitment</w:t>
      </w:r>
      <w:r w:rsidR="0008049E" w:rsidRPr="00FB28DE">
        <w:t xml:space="preserve"> </w:t>
      </w:r>
      <w:r w:rsidR="00C4436D" w:rsidRPr="00FB28DE">
        <w:t>to put forward solutions that honour the human rights of Aboriginal and Torres Strait Islander children and young people</w:t>
      </w:r>
      <w:r w:rsidR="000B644D" w:rsidRPr="00FB28DE">
        <w:t xml:space="preserve"> and</w:t>
      </w:r>
      <w:r w:rsidR="00C4436D" w:rsidRPr="00FB28DE">
        <w:t xml:space="preserve"> their families and communities.</w:t>
      </w:r>
    </w:p>
    <w:p w14:paraId="73A5BD18" w14:textId="66D445F5" w:rsidR="006B77BA" w:rsidRPr="00FB28DE" w:rsidRDefault="006B77BA" w:rsidP="006B77BA">
      <w:r w:rsidRPr="00FB28DE">
        <w:t xml:space="preserve">It has been a </w:t>
      </w:r>
      <w:r w:rsidR="00C4436D" w:rsidRPr="00FB28DE">
        <w:t>privilege</w:t>
      </w:r>
      <w:r w:rsidRPr="00FB28DE">
        <w:t xml:space="preserve"> to serve as the Acting National Commissioner at this pivotal tim</w:t>
      </w:r>
      <w:r w:rsidR="00332058" w:rsidRPr="00FB28DE">
        <w:t xml:space="preserve">e. </w:t>
      </w:r>
      <w:r w:rsidRPr="00FB28DE">
        <w:t>I extend my deepest gratitude to those who fought for this role</w:t>
      </w:r>
      <w:r w:rsidR="003D13E4" w:rsidRPr="00FB28DE">
        <w:t xml:space="preserve"> to be established</w:t>
      </w:r>
      <w:r w:rsidRPr="00FB28DE">
        <w:t xml:space="preserve"> and who have supported and engaged with us as we find our feet. I thank the young people I have met with in my capacity as the National Commissioner – many of whom are breaking new ground and stepping up as leaders on the issues that affect them. And I recognise all of the Aboriginal and Torres Strait Islander children and young people across the country. They are the</w:t>
      </w:r>
      <w:r w:rsidR="00971204" w:rsidRPr="00FB28DE">
        <w:t xml:space="preserve"> hopes and dreams of our ancestors, the</w:t>
      </w:r>
      <w:r w:rsidRPr="00FB28DE">
        <w:t xml:space="preserve"> </w:t>
      </w:r>
      <w:r w:rsidR="00971204" w:rsidRPr="00FB28DE">
        <w:t>here and now</w:t>
      </w:r>
      <w:r w:rsidRPr="00FB28DE">
        <w:t xml:space="preserve">, the </w:t>
      </w:r>
      <w:r w:rsidR="00971204" w:rsidRPr="00FB28DE">
        <w:t xml:space="preserve">vision of the </w:t>
      </w:r>
      <w:r w:rsidRPr="00FB28DE">
        <w:t>future, and the reason I am here.</w:t>
      </w:r>
    </w:p>
    <w:p w14:paraId="38542F90" w14:textId="36E9441C" w:rsidR="006B77BA" w:rsidRPr="00FB28DE" w:rsidRDefault="006B77BA" w:rsidP="00332058">
      <w:r w:rsidRPr="00FB28DE">
        <w:t>I look forward to listening to their perspectives, collaborating with them, and amplifying their voices</w:t>
      </w:r>
      <w:r w:rsidR="00332058" w:rsidRPr="00FB28DE">
        <w:t xml:space="preserve"> on what matters to them</w:t>
      </w:r>
      <w:r w:rsidRPr="00FB28DE">
        <w:t xml:space="preserve">. </w:t>
      </w:r>
      <w:r w:rsidR="00B23F5E" w:rsidRPr="00FB28DE">
        <w:t>With optimism, deep responsibility</w:t>
      </w:r>
      <w:r w:rsidR="002E2F62" w:rsidRPr="00FB28DE">
        <w:t>,</w:t>
      </w:r>
      <w:r w:rsidR="00B23F5E" w:rsidRPr="00FB28DE">
        <w:t xml:space="preserve"> and a sense of urgency</w:t>
      </w:r>
      <w:r w:rsidR="00D454EA" w:rsidRPr="00FB28DE">
        <w:t xml:space="preserve"> </w:t>
      </w:r>
      <w:r w:rsidR="002E2F62" w:rsidRPr="00FB28DE">
        <w:t>–</w:t>
      </w:r>
      <w:r w:rsidR="00D454EA" w:rsidRPr="00FB28DE">
        <w:t xml:space="preserve"> we will connect and collaborate with </w:t>
      </w:r>
      <w:r w:rsidR="00332058" w:rsidRPr="00FB28DE">
        <w:t xml:space="preserve">government and non-government organisations </w:t>
      </w:r>
      <w:r w:rsidR="00B23F5E" w:rsidRPr="00FB28DE">
        <w:t xml:space="preserve">to invest in meaningful </w:t>
      </w:r>
      <w:r w:rsidR="00B23F5E" w:rsidRPr="00FB28DE">
        <w:lastRenderedPageBreak/>
        <w:t>change</w:t>
      </w:r>
      <w:r w:rsidR="00D454EA" w:rsidRPr="00FB28DE">
        <w:t>.</w:t>
      </w:r>
      <w:r w:rsidR="002E2F62" w:rsidRPr="00FB28DE">
        <w:t xml:space="preserve"> </w:t>
      </w:r>
      <w:r w:rsidR="007D6991" w:rsidRPr="00FB28DE">
        <w:t xml:space="preserve">Because </w:t>
      </w:r>
      <w:r w:rsidR="0097570A" w:rsidRPr="00FB28DE">
        <w:t xml:space="preserve">all </w:t>
      </w:r>
      <w:r w:rsidR="007D3113" w:rsidRPr="00FB28DE">
        <w:t>Aboriginal and Torres Strait Islander child</w:t>
      </w:r>
      <w:r w:rsidR="0097570A" w:rsidRPr="00FB28DE">
        <w:t>ren</w:t>
      </w:r>
      <w:r w:rsidR="007D3113" w:rsidRPr="00FB28DE">
        <w:t xml:space="preserve"> and young pe</w:t>
      </w:r>
      <w:r w:rsidR="00467E3C" w:rsidRPr="00FB28DE">
        <w:t>ople</w:t>
      </w:r>
      <w:r w:rsidR="007D3113" w:rsidRPr="00FB28DE">
        <w:t xml:space="preserve"> deserve </w:t>
      </w:r>
      <w:r w:rsidR="007A3568" w:rsidRPr="00FB28DE">
        <w:t>to grow up strong in their identity and culture</w:t>
      </w:r>
      <w:r w:rsidR="00D453A2" w:rsidRPr="00FB28DE">
        <w:t>, in a future of boundless opportunit</w:t>
      </w:r>
      <w:r w:rsidR="008176A0" w:rsidRPr="00FB28DE">
        <w:t>ies.</w:t>
      </w:r>
    </w:p>
    <w:p w14:paraId="6D4E54A5" w14:textId="0677AF5E" w:rsidR="00990873" w:rsidRPr="00FB28DE" w:rsidRDefault="00F516AA" w:rsidP="006B77BA">
      <w:r w:rsidRPr="00FB28DE">
        <w:rPr>
          <w:noProof/>
        </w:rPr>
        <w:drawing>
          <wp:inline distT="0" distB="0" distL="0" distR="0" wp14:anchorId="388F4E50" wp14:editId="128EA068">
            <wp:extent cx="1491448" cy="707533"/>
            <wp:effectExtent l="0" t="0" r="0" b="0"/>
            <wp:docPr id="626566938" name="Picture 1" descr="Lil Gordon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66938" name="Picture 1" descr="Lil Gordon - 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9609" cy="711404"/>
                    </a:xfrm>
                    <a:prstGeom prst="rect">
                      <a:avLst/>
                    </a:prstGeom>
                    <a:noFill/>
                    <a:ln>
                      <a:noFill/>
                    </a:ln>
                  </pic:spPr>
                </pic:pic>
              </a:graphicData>
            </a:graphic>
          </wp:inline>
        </w:drawing>
      </w:r>
    </w:p>
    <w:p w14:paraId="185F0EC4" w14:textId="77777777" w:rsidR="00F31960" w:rsidRPr="00FB28DE" w:rsidRDefault="00F31960" w:rsidP="00F31960">
      <w:pPr>
        <w:rPr>
          <w:b/>
          <w:bCs/>
        </w:rPr>
      </w:pPr>
      <w:r w:rsidRPr="00FB28DE">
        <w:rPr>
          <w:b/>
          <w:bCs/>
        </w:rPr>
        <w:t xml:space="preserve">Lil Gordon </w:t>
      </w:r>
    </w:p>
    <w:p w14:paraId="11C642AF" w14:textId="5B4A8AE3" w:rsidR="00F31960" w:rsidRPr="00FB28DE" w:rsidRDefault="00F31960" w:rsidP="00F31960">
      <w:r w:rsidRPr="00FB28DE">
        <w:t xml:space="preserve">Acting </w:t>
      </w:r>
      <w:r w:rsidR="000D1BF1" w:rsidRPr="00FB28DE">
        <w:t xml:space="preserve">National </w:t>
      </w:r>
      <w:r w:rsidRPr="00FB28DE">
        <w:t>Commissioner</w:t>
      </w:r>
      <w:r w:rsidR="001D5080" w:rsidRPr="00FB28DE">
        <w:t xml:space="preserve"> for Aboriginal and Torres Strait Islander Children and Young People</w:t>
      </w:r>
    </w:p>
    <w:p w14:paraId="33B0E62D" w14:textId="77777777" w:rsidR="00DE3154" w:rsidRPr="00FB28DE" w:rsidRDefault="00DE3154">
      <w:pPr>
        <w:spacing w:after="240"/>
        <w:rPr>
          <w:rFonts w:asciiTheme="majorHAnsi" w:eastAsiaTheme="majorEastAsia" w:hAnsiTheme="majorHAnsi" w:cstheme="majorBidi"/>
          <w:b/>
          <w:bCs/>
          <w:color w:val="4C41A0" w:themeColor="accent1"/>
          <w:sz w:val="40"/>
          <w:szCs w:val="26"/>
        </w:rPr>
      </w:pPr>
      <w:r w:rsidRPr="00FB28DE">
        <w:br w:type="page"/>
      </w:r>
    </w:p>
    <w:p w14:paraId="752074DE" w14:textId="1FDB1B3E" w:rsidR="000E55FE" w:rsidRPr="00FB28DE" w:rsidRDefault="00A93D3A" w:rsidP="000E55FE">
      <w:pPr>
        <w:pStyle w:val="Heading2"/>
      </w:pPr>
      <w:bookmarkStart w:id="6" w:name="_Toc199835368"/>
      <w:r w:rsidRPr="00FB28DE">
        <w:lastRenderedPageBreak/>
        <w:t>About the National Commission</w:t>
      </w:r>
      <w:bookmarkEnd w:id="6"/>
    </w:p>
    <w:p w14:paraId="6E7C1EC4" w14:textId="70EB6862" w:rsidR="00C844D8" w:rsidRPr="00FB28DE" w:rsidRDefault="00A93D3A" w:rsidP="00302F08">
      <w:pPr>
        <w:pStyle w:val="Heading3"/>
      </w:pPr>
      <w:bookmarkStart w:id="7" w:name="_Toc199835369"/>
      <w:r w:rsidRPr="00FB28DE">
        <w:t>Our p</w:t>
      </w:r>
      <w:r w:rsidR="00302F08" w:rsidRPr="00FB28DE">
        <w:t>urpose</w:t>
      </w:r>
      <w:bookmarkEnd w:id="7"/>
    </w:p>
    <w:p w14:paraId="41C900AB" w14:textId="1E6A3597" w:rsidR="002E1300" w:rsidRPr="00FB28DE" w:rsidRDefault="0060670D" w:rsidP="3D9C974C">
      <w:pPr>
        <w:rPr>
          <w:i/>
          <w:iCs/>
        </w:rPr>
      </w:pPr>
      <w:r w:rsidRPr="00FB28DE">
        <w:rPr>
          <w:i/>
          <w:iCs/>
        </w:rPr>
        <w:t>Our purpose is t</w:t>
      </w:r>
      <w:r w:rsidR="00EC0C79" w:rsidRPr="00FB28DE">
        <w:rPr>
          <w:i/>
          <w:iCs/>
        </w:rPr>
        <w:t>o protect and promote the rights, interests, and wellbeing of Aboriginal and Torres Strait Islander children and young people by amplifying their voices, aspirations, and strengths</w:t>
      </w:r>
      <w:r w:rsidR="00D7300D" w:rsidRPr="00FB28DE">
        <w:rPr>
          <w:i/>
          <w:iCs/>
        </w:rPr>
        <w:t xml:space="preserve">; </w:t>
      </w:r>
      <w:r w:rsidR="0083694B" w:rsidRPr="00FB28DE">
        <w:rPr>
          <w:i/>
          <w:iCs/>
        </w:rPr>
        <w:t>embedding their perspectives and priorities in</w:t>
      </w:r>
      <w:r w:rsidR="00500DBE" w:rsidRPr="00FB28DE">
        <w:rPr>
          <w:i/>
          <w:iCs/>
        </w:rPr>
        <w:t xml:space="preserve"> advice to </w:t>
      </w:r>
      <w:r w:rsidR="0063413D" w:rsidRPr="00FB28DE">
        <w:rPr>
          <w:i/>
          <w:iCs/>
        </w:rPr>
        <w:t>G</w:t>
      </w:r>
      <w:r w:rsidR="00500DBE" w:rsidRPr="00FB28DE">
        <w:rPr>
          <w:i/>
          <w:iCs/>
        </w:rPr>
        <w:t>overnment</w:t>
      </w:r>
      <w:r w:rsidR="006C60E1" w:rsidRPr="00FB28DE">
        <w:rPr>
          <w:i/>
          <w:iCs/>
        </w:rPr>
        <w:t>;</w:t>
      </w:r>
      <w:r w:rsidR="00EC0C79" w:rsidRPr="00FB28DE">
        <w:rPr>
          <w:i/>
          <w:iCs/>
        </w:rPr>
        <w:t xml:space="preserve"> and collaborating with key stakeholders to </w:t>
      </w:r>
      <w:r w:rsidR="008F1065" w:rsidRPr="00FB28DE">
        <w:rPr>
          <w:i/>
          <w:iCs/>
        </w:rPr>
        <w:t>enhance</w:t>
      </w:r>
      <w:r w:rsidR="317AE517" w:rsidRPr="00FB28DE">
        <w:rPr>
          <w:i/>
          <w:iCs/>
        </w:rPr>
        <w:t xml:space="preserve"> </w:t>
      </w:r>
      <w:r w:rsidR="60606C47" w:rsidRPr="00FB28DE">
        <w:rPr>
          <w:i/>
          <w:iCs/>
        </w:rPr>
        <w:t>collective impact</w:t>
      </w:r>
      <w:r w:rsidR="00881F7B" w:rsidRPr="00FB28DE">
        <w:rPr>
          <w:i/>
          <w:iCs/>
        </w:rPr>
        <w:t xml:space="preserve"> and</w:t>
      </w:r>
      <w:r w:rsidR="60606C47" w:rsidRPr="00FB28DE">
        <w:rPr>
          <w:i/>
          <w:iCs/>
        </w:rPr>
        <w:t xml:space="preserve"> drive </w:t>
      </w:r>
      <w:r w:rsidR="3E8EFB1A" w:rsidRPr="00FB28DE">
        <w:rPr>
          <w:i/>
          <w:iCs/>
        </w:rPr>
        <w:t>system</w:t>
      </w:r>
      <w:r w:rsidR="00DE4B57" w:rsidRPr="00FB28DE">
        <w:rPr>
          <w:i/>
          <w:iCs/>
        </w:rPr>
        <w:t>ic</w:t>
      </w:r>
      <w:r w:rsidR="3E8EFB1A" w:rsidRPr="00FB28DE">
        <w:rPr>
          <w:i/>
          <w:iCs/>
        </w:rPr>
        <w:t xml:space="preserve"> reform</w:t>
      </w:r>
      <w:r w:rsidR="00881F7B" w:rsidRPr="00FB28DE">
        <w:rPr>
          <w:i/>
          <w:iCs/>
        </w:rPr>
        <w:t>.</w:t>
      </w:r>
    </w:p>
    <w:p w14:paraId="25591EDB" w14:textId="26575D3A" w:rsidR="00151576" w:rsidRPr="00FB28DE" w:rsidRDefault="5C0C034F" w:rsidP="007A356C">
      <w:pPr>
        <w:pStyle w:val="Heading3"/>
        <w:rPr>
          <w:szCs w:val="28"/>
        </w:rPr>
      </w:pPr>
      <w:bookmarkStart w:id="8" w:name="_Toc199835370"/>
      <w:r w:rsidRPr="00FB28DE">
        <w:rPr>
          <w:szCs w:val="28"/>
        </w:rPr>
        <w:t>Our Story</w:t>
      </w:r>
      <w:bookmarkEnd w:id="8"/>
      <w:r w:rsidR="00030A44" w:rsidRPr="00FB28DE">
        <w:rPr>
          <w:szCs w:val="28"/>
        </w:rPr>
        <w:t xml:space="preserve"> </w:t>
      </w:r>
    </w:p>
    <w:p w14:paraId="38D3A4FD" w14:textId="1210243B" w:rsidR="6F4DAAC3" w:rsidRPr="00FB28DE" w:rsidRDefault="05ABA676">
      <w:r w:rsidRPr="00FB28DE">
        <w:t xml:space="preserve">The </w:t>
      </w:r>
      <w:r w:rsidR="6F4DAAC3" w:rsidRPr="00FB28DE">
        <w:t xml:space="preserve">National Commission was established </w:t>
      </w:r>
      <w:r w:rsidR="32DE95DF" w:rsidRPr="00FB28DE">
        <w:t xml:space="preserve">on 26 September 2024 </w:t>
      </w:r>
      <w:r w:rsidR="6F4DAAC3" w:rsidRPr="00FB28DE">
        <w:t xml:space="preserve">as an </w:t>
      </w:r>
      <w:r w:rsidR="00F0305E" w:rsidRPr="00FB28DE">
        <w:t>e</w:t>
      </w:r>
      <w:r w:rsidR="6F4DAAC3" w:rsidRPr="00FB28DE">
        <w:t xml:space="preserve">xecutive </w:t>
      </w:r>
      <w:r w:rsidR="00F0305E" w:rsidRPr="00FB28DE">
        <w:t>a</w:t>
      </w:r>
      <w:r w:rsidR="6F4DAAC3" w:rsidRPr="00FB28DE">
        <w:t xml:space="preserve">gency in accordance with section 65(1) of the </w:t>
      </w:r>
      <w:r w:rsidR="6F4DAAC3" w:rsidRPr="00FB28DE">
        <w:rPr>
          <w:i/>
          <w:iCs/>
        </w:rPr>
        <w:t>Public Service Act 1999</w:t>
      </w:r>
      <w:r w:rsidR="6F4DAAC3" w:rsidRPr="00FB28DE">
        <w:t>.</w:t>
      </w:r>
      <w:r w:rsidR="0053460A" w:rsidRPr="00FB28DE">
        <w:t xml:space="preserve"> It </w:t>
      </w:r>
      <w:r w:rsidR="6F4DAAC3" w:rsidRPr="00FB28DE">
        <w:t>commenced operations on 13 January 2025 as a separate and independent entity within the Social Services portfolio.</w:t>
      </w:r>
    </w:p>
    <w:p w14:paraId="40EB13CA" w14:textId="11E7309B" w:rsidR="6F4DAAC3" w:rsidRPr="00FB28DE" w:rsidRDefault="77639B29">
      <w:r w:rsidRPr="00FB28DE">
        <w:t>The establishment of the National Commission follows longstanding calls from First Nations leaders and organisations for a fully empowered and legislated National Commissioner to address the over</w:t>
      </w:r>
      <w:r w:rsidR="00982F37" w:rsidRPr="00FB28DE">
        <w:noBreakHyphen/>
      </w:r>
      <w:r w:rsidRPr="00FB28DE">
        <w:t>representation of Aboriginal and Torres Strait Islander children and young people in out</w:t>
      </w:r>
      <w:r w:rsidR="00982F37" w:rsidRPr="00FB28DE">
        <w:noBreakHyphen/>
      </w:r>
      <w:r w:rsidRPr="00FB28DE">
        <w:t>of</w:t>
      </w:r>
      <w:r w:rsidR="00982F37" w:rsidRPr="00FB28DE">
        <w:noBreakHyphen/>
      </w:r>
      <w:r w:rsidRPr="00FB28DE">
        <w:t>home care and youth detention. The role was also recommended by the United Nations Committee on the Rights of the Child in 2012 to ensure the effective monitoring of child rights in Aboriginal and Torres Strait Islander communities. Throughout the years, community leaders and advocates have not given up on securing representation and accountability for the rights of Aboriginal and Torres Strait Islander children and young people.</w:t>
      </w:r>
    </w:p>
    <w:p w14:paraId="7B2BD388" w14:textId="4CA51276" w:rsidR="77F94436" w:rsidRPr="00FB28DE" w:rsidRDefault="77F94436" w:rsidP="00763BB9">
      <w:pPr>
        <w:pStyle w:val="Heading3"/>
      </w:pPr>
      <w:bookmarkStart w:id="9" w:name="_Toc199835371"/>
      <w:r w:rsidRPr="00FB28DE">
        <w:t>Outcome Statement</w:t>
      </w:r>
      <w:bookmarkEnd w:id="9"/>
    </w:p>
    <w:p w14:paraId="652B923C" w14:textId="206DC976" w:rsidR="5847930D" w:rsidRPr="00FB28DE" w:rsidRDefault="5847930D" w:rsidP="7F092F4D">
      <w:r w:rsidRPr="00FB28DE">
        <w:t xml:space="preserve">As documented in our Portfolio </w:t>
      </w:r>
      <w:r w:rsidR="04844B5D" w:rsidRPr="00FB28DE">
        <w:t>Budget</w:t>
      </w:r>
      <w:r w:rsidRPr="00FB28DE">
        <w:t xml:space="preserve"> Statement for the Social Services portfolio, we are responsible for the outcome:</w:t>
      </w:r>
    </w:p>
    <w:p w14:paraId="623BAA45" w14:textId="7F9AB8B2" w:rsidR="00083A4A" w:rsidRPr="00FB28DE" w:rsidRDefault="00083A4A" w:rsidP="3D9C974C">
      <w:pPr>
        <w:rPr>
          <w:i/>
          <w:iCs/>
        </w:rPr>
      </w:pPr>
      <w:r w:rsidRPr="00FB28DE">
        <w:rPr>
          <w:i/>
          <w:iCs/>
        </w:rPr>
        <w:t>Amplifying the voices of Aboriginal and Torres Strait Islander children and young people, by providing strategic, independent and impartial advice about policy, reforms and services, and promoting and enhancing coordination on matters related to Aboriginal and Torres Strait Islander children and young people.</w:t>
      </w:r>
    </w:p>
    <w:p w14:paraId="0C6BE2C7" w14:textId="08BFC2A4" w:rsidR="00DB42E8" w:rsidRPr="00FB28DE" w:rsidRDefault="00DB42E8" w:rsidP="007A356C">
      <w:pPr>
        <w:pStyle w:val="Heading4"/>
        <w:rPr>
          <w:b/>
          <w:iCs w:val="0"/>
          <w:sz w:val="28"/>
          <w:szCs w:val="28"/>
        </w:rPr>
      </w:pPr>
      <w:r w:rsidRPr="00FB28DE">
        <w:rPr>
          <w:b/>
          <w:sz w:val="28"/>
          <w:szCs w:val="28"/>
        </w:rPr>
        <w:t>Functions</w:t>
      </w:r>
    </w:p>
    <w:p w14:paraId="4A47B57F" w14:textId="5D66B932" w:rsidR="00125857" w:rsidRPr="00FB28DE" w:rsidRDefault="00541A35" w:rsidP="00BB3B57">
      <w:r w:rsidRPr="00FB28DE">
        <w:t>The National Commission’s current functions are set out in the Order to Establish the National Commission for Aboriginal and Torres Strait Islander Children and Young People as an Executive Agency</w:t>
      </w:r>
      <w:r w:rsidR="00BB3B57" w:rsidRPr="00FB28DE">
        <w:t>:</w:t>
      </w:r>
      <w:r w:rsidR="00125857" w:rsidRPr="00FB28DE">
        <w:rPr>
          <w:rStyle w:val="EndnoteReference"/>
        </w:rPr>
        <w:endnoteReference w:id="2"/>
      </w:r>
    </w:p>
    <w:p w14:paraId="3C0AB75B" w14:textId="38BE75A1" w:rsidR="00125857" w:rsidRPr="00FB28DE" w:rsidRDefault="00125857" w:rsidP="00BB3B57">
      <w:pPr>
        <w:pStyle w:val="ListParagraph"/>
        <w:shd w:val="clear" w:color="auto" w:fill="FDFDFC"/>
        <w:spacing w:after="0"/>
        <w:rPr>
          <w:rFonts w:eastAsiaTheme="minorEastAsia"/>
          <w:color w:val="212121"/>
          <w:szCs w:val="22"/>
        </w:rPr>
      </w:pPr>
      <w:r w:rsidRPr="00FB28DE">
        <w:rPr>
          <w:rFonts w:eastAsiaTheme="minorEastAsia"/>
          <w:color w:val="212121"/>
          <w:szCs w:val="22"/>
        </w:rPr>
        <w:t xml:space="preserve">promote and protect the rights of Aboriginal and Torres Strait Islander children and young people through strategic policy advice and reports to </w:t>
      </w:r>
      <w:r w:rsidR="00E92499" w:rsidRPr="00FB28DE">
        <w:rPr>
          <w:rFonts w:eastAsiaTheme="minorEastAsia"/>
          <w:color w:val="212121"/>
          <w:szCs w:val="22"/>
        </w:rPr>
        <w:t>G</w:t>
      </w:r>
      <w:r w:rsidRPr="00FB28DE">
        <w:rPr>
          <w:rFonts w:eastAsiaTheme="minorEastAsia"/>
          <w:color w:val="212121"/>
          <w:szCs w:val="22"/>
        </w:rPr>
        <w:t>overnment on matters affecting Aboriginal and Torres Strait Islander children and young people, and their families</w:t>
      </w:r>
    </w:p>
    <w:p w14:paraId="0228FF52" w14:textId="77777777" w:rsidR="00125857" w:rsidRPr="00FB28DE" w:rsidRDefault="00125857" w:rsidP="00BB3B57">
      <w:pPr>
        <w:pStyle w:val="ListParagraph"/>
        <w:shd w:val="clear" w:color="auto" w:fill="FDFDFC"/>
        <w:spacing w:after="0"/>
        <w:rPr>
          <w:rFonts w:eastAsiaTheme="minorEastAsia"/>
          <w:color w:val="212121"/>
          <w:szCs w:val="22"/>
        </w:rPr>
      </w:pPr>
      <w:r w:rsidRPr="00FB28DE">
        <w:rPr>
          <w:rFonts w:eastAsiaTheme="minorEastAsia"/>
          <w:color w:val="212121"/>
          <w:szCs w:val="22"/>
        </w:rPr>
        <w:t>provide advice to Government on and inform the implementation of key policy frameworks which seek to improve outcomes for Aboriginal and Torres Strait Islander children and young people and their families</w:t>
      </w:r>
    </w:p>
    <w:p w14:paraId="79D7976C" w14:textId="77777777" w:rsidR="00125857" w:rsidRPr="00FB28DE" w:rsidRDefault="00125857" w:rsidP="00BB3B57">
      <w:pPr>
        <w:pStyle w:val="ListParagraph"/>
        <w:shd w:val="clear" w:color="auto" w:fill="FDFDFC"/>
        <w:spacing w:after="0"/>
        <w:rPr>
          <w:rFonts w:eastAsiaTheme="minorEastAsia"/>
          <w:color w:val="212121"/>
          <w:szCs w:val="22"/>
        </w:rPr>
      </w:pPr>
      <w:r w:rsidRPr="00FB28DE">
        <w:rPr>
          <w:rFonts w:eastAsiaTheme="minorEastAsia"/>
          <w:color w:val="212121"/>
          <w:szCs w:val="22"/>
        </w:rPr>
        <w:t>promote and enhance coordination across Commonwealth and state and territory governments, commissioners, guardians and advocates and non-government organisations on matters related to Aboriginal and Torres Strait Islander children and young people</w:t>
      </w:r>
    </w:p>
    <w:p w14:paraId="5ED8F1A3" w14:textId="77777777" w:rsidR="00125857" w:rsidRPr="00FB28DE" w:rsidRDefault="00125857" w:rsidP="00BB3B57">
      <w:pPr>
        <w:pStyle w:val="ListParagraph"/>
        <w:shd w:val="clear" w:color="auto" w:fill="FDFDFC"/>
        <w:spacing w:after="0"/>
        <w:rPr>
          <w:rFonts w:eastAsiaTheme="minorEastAsia"/>
          <w:color w:val="212121"/>
          <w:szCs w:val="22"/>
        </w:rPr>
      </w:pPr>
      <w:r w:rsidRPr="00FB28DE">
        <w:rPr>
          <w:rFonts w:eastAsiaTheme="minorEastAsia"/>
          <w:color w:val="212121"/>
          <w:szCs w:val="22"/>
        </w:rPr>
        <w:lastRenderedPageBreak/>
        <w:t>undertake consultation with Aboriginal and Torres Strait Islander children and young people and their families, relevant Commonwealth and state and territory governments, commissioners, guardians and advocates and non-government organisations</w:t>
      </w:r>
    </w:p>
    <w:p w14:paraId="48699693" w14:textId="7DB367FE" w:rsidR="00125857" w:rsidRPr="00FB28DE" w:rsidRDefault="00125857" w:rsidP="009F74E2">
      <w:pPr>
        <w:pStyle w:val="ListParagraph"/>
      </w:pPr>
      <w:r w:rsidRPr="00FB28DE">
        <w:t xml:space="preserve">ensure the voices of Aboriginal and Torres Strait Islander children and young people and their families are reflected in advice to </w:t>
      </w:r>
      <w:r w:rsidR="00E92499" w:rsidRPr="00FB28DE">
        <w:t>G</w:t>
      </w:r>
      <w:r w:rsidRPr="00FB28DE">
        <w:t>overnment.</w:t>
      </w:r>
    </w:p>
    <w:p w14:paraId="594B9D53" w14:textId="0C4589EE" w:rsidR="00125857" w:rsidRPr="00FB28DE" w:rsidRDefault="00125857" w:rsidP="0039410B">
      <w:r w:rsidRPr="00FB28DE">
        <w:t xml:space="preserve">The establishment of the National Commission under the executive order with the functions outlined above is an important first step in the realisation of an independent, ongoing, fully legislated and empowered National Commissioner. </w:t>
      </w:r>
    </w:p>
    <w:p w14:paraId="1EF71673" w14:textId="4AF7CE39" w:rsidR="00125857" w:rsidRPr="00FB28DE" w:rsidRDefault="00125857" w:rsidP="00AA11EC">
      <w:pPr>
        <w:rPr>
          <w:rFonts w:asciiTheme="majorHAnsi" w:eastAsiaTheme="majorEastAsia" w:hAnsiTheme="majorHAnsi" w:cstheme="majorBidi"/>
          <w:b/>
          <w:bCs/>
          <w:color w:val="4C41A0" w:themeColor="accent1"/>
          <w:sz w:val="40"/>
          <w:szCs w:val="26"/>
        </w:rPr>
      </w:pPr>
      <w:r w:rsidRPr="00FB28DE">
        <w:br w:type="page"/>
      </w:r>
    </w:p>
    <w:p w14:paraId="513BE47A" w14:textId="27771897" w:rsidR="00125857" w:rsidRPr="00FB28DE" w:rsidRDefault="00125857" w:rsidP="000E55FE">
      <w:pPr>
        <w:pStyle w:val="Heading2"/>
      </w:pPr>
      <w:bookmarkStart w:id="10" w:name="_Toc199835372"/>
      <w:r w:rsidRPr="00FB28DE">
        <w:lastRenderedPageBreak/>
        <w:t>Key Activities</w:t>
      </w:r>
      <w:bookmarkEnd w:id="10"/>
    </w:p>
    <w:p w14:paraId="4A361644" w14:textId="5E104B66" w:rsidR="00125857" w:rsidRPr="00FB28DE" w:rsidRDefault="00125857" w:rsidP="006463BE">
      <w:r w:rsidRPr="00FB28DE">
        <w:t xml:space="preserve">In the National Commission’s early phases of work, we are establishing the administrative and corporate foundations of an independent non-corporate Commonwealth entity, including accountability systems and processes to ensure compliance with all legislative and governance requirements under the </w:t>
      </w:r>
      <w:r w:rsidRPr="00FB28DE">
        <w:rPr>
          <w:i/>
          <w:iCs/>
        </w:rPr>
        <w:t>Public Governance, Performance and Accountability Act</w:t>
      </w:r>
      <w:r w:rsidRPr="00FB28DE">
        <w:t xml:space="preserve"> </w:t>
      </w:r>
      <w:r w:rsidRPr="00FB28DE">
        <w:rPr>
          <w:i/>
          <w:iCs/>
        </w:rPr>
        <w:t>2013</w:t>
      </w:r>
      <w:r w:rsidRPr="00FB28DE">
        <w:t>.</w:t>
      </w:r>
    </w:p>
    <w:p w14:paraId="454DFBC3" w14:textId="794FF400" w:rsidR="00125857" w:rsidRPr="00FB28DE" w:rsidRDefault="00125857" w:rsidP="006463BE">
      <w:r w:rsidRPr="00FB28DE">
        <w:t xml:space="preserve">This early work includes identifying and establishing our key activities. These are informed by our purpose, intended outcomes, ongoing engagement with key stakeholders, and functions as outlined in our executive order (see </w:t>
      </w:r>
      <w:r w:rsidRPr="00FB28DE">
        <w:rPr>
          <w:i/>
          <w:iCs/>
        </w:rPr>
        <w:t>About the National Commission</w:t>
      </w:r>
      <w:r w:rsidRPr="00FB28DE">
        <w:t>).</w:t>
      </w:r>
    </w:p>
    <w:p w14:paraId="7BCD3919" w14:textId="4244AC3B" w:rsidR="00125857" w:rsidRPr="00FB28DE" w:rsidRDefault="00125857" w:rsidP="00951524">
      <w:r w:rsidRPr="00FB28DE">
        <w:t>The National Commission currently undertakes key activities in three areas:</w:t>
      </w:r>
    </w:p>
    <w:p w14:paraId="2E4FAA83" w14:textId="74DF2B44" w:rsidR="00125857" w:rsidRPr="00FB28DE" w:rsidRDefault="00125857" w:rsidP="00F220C6">
      <w:pPr>
        <w:pStyle w:val="ListParagraph"/>
        <w:numPr>
          <w:ilvl w:val="0"/>
          <w:numId w:val="28"/>
        </w:numPr>
      </w:pPr>
      <w:r w:rsidRPr="00FB28DE">
        <w:t>Amplifying the voices, aspirations and strengths of Aboriginal and Torres Strait Islander children and young people</w:t>
      </w:r>
    </w:p>
    <w:p w14:paraId="479C1773" w14:textId="66A9788D" w:rsidR="00125857" w:rsidRPr="00FB28DE" w:rsidRDefault="00125857" w:rsidP="00F220C6">
      <w:pPr>
        <w:pStyle w:val="ListParagraph"/>
        <w:numPr>
          <w:ilvl w:val="0"/>
          <w:numId w:val="28"/>
        </w:numPr>
      </w:pPr>
      <w:r w:rsidRPr="00FB28DE">
        <w:t xml:space="preserve">Providing advice to </w:t>
      </w:r>
      <w:r w:rsidR="00E92499" w:rsidRPr="00FB28DE">
        <w:t>G</w:t>
      </w:r>
      <w:r w:rsidRPr="00FB28DE">
        <w:t xml:space="preserve">overnment </w:t>
      </w:r>
    </w:p>
    <w:p w14:paraId="1F9A257A" w14:textId="6D942488" w:rsidR="00125857" w:rsidRPr="00FB28DE" w:rsidRDefault="00125857" w:rsidP="00F220C6">
      <w:pPr>
        <w:pStyle w:val="ListParagraph"/>
        <w:numPr>
          <w:ilvl w:val="0"/>
          <w:numId w:val="28"/>
        </w:numPr>
      </w:pPr>
      <w:r w:rsidRPr="00FB28DE">
        <w:t>Enhancing national coordination on matters related to Aboriginal and Torres Strait Islander children and young people</w:t>
      </w:r>
    </w:p>
    <w:p w14:paraId="600EBE17" w14:textId="1DDA11E8" w:rsidR="00125857" w:rsidRPr="00FB28DE" w:rsidRDefault="00125857" w:rsidP="001F78F2">
      <w:pPr>
        <w:pStyle w:val="Heading3"/>
      </w:pPr>
      <w:bookmarkStart w:id="11" w:name="_Toc199835373"/>
      <w:bookmarkStart w:id="12" w:name="_Toc196749678"/>
      <w:r w:rsidRPr="00FB28DE">
        <w:t>Amplifying the voices, aspirations and strengths of Aboriginal and Torres Strait Islander children and young people</w:t>
      </w:r>
      <w:bookmarkEnd w:id="11"/>
    </w:p>
    <w:p w14:paraId="0713BE9C" w14:textId="671D09D2" w:rsidR="00125857" w:rsidRPr="00FB28DE" w:rsidRDefault="00125857" w:rsidP="009F2427">
      <w:pPr>
        <w:pStyle w:val="Heading4"/>
      </w:pPr>
      <w:r w:rsidRPr="00FB28DE">
        <w:t>Engagement with children and young people</w:t>
      </w:r>
      <w:bookmarkEnd w:id="12"/>
    </w:p>
    <w:p w14:paraId="1B841B33" w14:textId="0E82AE0A" w:rsidR="00125857" w:rsidRPr="00FB28DE" w:rsidRDefault="00125857" w:rsidP="009F2427">
      <w:r w:rsidRPr="00FB28DE">
        <w:t xml:space="preserve">A core function of the National Commission’s work is to undertake consultation with Aboriginal and Torres Strait Islander children and young people and ensure that their voices are reflected in advice to </w:t>
      </w:r>
      <w:r w:rsidR="00E92499" w:rsidRPr="00FB28DE">
        <w:t>G</w:t>
      </w:r>
      <w:r w:rsidRPr="00FB28DE">
        <w:t xml:space="preserve">overnment. Listening to, and engaging with, children and young people therefore represents ongoing, critical work to inform the National Commission’s priorities, approach, and messaging. </w:t>
      </w:r>
    </w:p>
    <w:p w14:paraId="361433AB" w14:textId="77777777" w:rsidR="00125857" w:rsidRPr="00FB28DE" w:rsidRDefault="00125857" w:rsidP="009F2427">
      <w:r w:rsidRPr="00FB28DE">
        <w:t xml:space="preserve">The National Commission will work with state and territory counterparts to access consultation and engagement opportunities without duplicating work or increasing the risk of consultation fatigue in jurisdictions. This may include a range of activities, such as consultation with children and their families, group consultations, or engagement at forums and events. </w:t>
      </w:r>
    </w:p>
    <w:p w14:paraId="17ADD12F" w14:textId="77777777" w:rsidR="00125857" w:rsidRPr="00FB28DE" w:rsidRDefault="00125857" w:rsidP="009F2427">
      <w:pPr>
        <w:pStyle w:val="Heading4"/>
      </w:pPr>
      <w:bookmarkStart w:id="13" w:name="_Toc196749679"/>
      <w:r w:rsidRPr="00FB28DE">
        <w:t>Youth engagement model</w:t>
      </w:r>
      <w:bookmarkEnd w:id="13"/>
    </w:p>
    <w:p w14:paraId="023EB8E4" w14:textId="465B6FED" w:rsidR="00125857" w:rsidRPr="00FB28DE" w:rsidRDefault="00125857" w:rsidP="009F2427">
      <w:r w:rsidRPr="00FB28DE">
        <w:t xml:space="preserve">Alongside ongoing engagement with Aboriginal and Torres Strait Islander children and young people, the National Commission is committed to supporting the development of a dedicated national youth engagement model to empower young people to elevate their voices on issues that affect them. The youth engagement model will be progressed in collaboration with </w:t>
      </w:r>
      <w:r w:rsidR="00793823" w:rsidRPr="00FB28DE">
        <w:t xml:space="preserve">Aboriginal and Torres Strait Islander </w:t>
      </w:r>
      <w:r w:rsidRPr="00FB28DE">
        <w:t>children and young people and key stakeholders. Once established, the National Commission will support the youth engagement model to engage with governments and stakeholders according to young people’s priorities and goals.</w:t>
      </w:r>
    </w:p>
    <w:p w14:paraId="33D93B0A" w14:textId="77777777" w:rsidR="00125857" w:rsidRPr="00FB28DE" w:rsidRDefault="00125857" w:rsidP="008C62D6">
      <w:pPr>
        <w:pStyle w:val="Heading4"/>
      </w:pPr>
      <w:r w:rsidRPr="00FB28DE">
        <w:t>Enquiries and complaints</w:t>
      </w:r>
    </w:p>
    <w:p w14:paraId="2FBAC481" w14:textId="4BC19784" w:rsidR="00125857" w:rsidRPr="00FB28DE" w:rsidRDefault="00125857" w:rsidP="008C62D6">
      <w:r w:rsidRPr="00FB28DE">
        <w:t>Although the National Commission is not able to investigate or advocate on individual matters, receiving enquiries and complaints is an important part of providing children, young people, and their families with an accessible avenue for making their voices heard and ensuring that the National Commission’s key activities are aligned to their priorities and needs.</w:t>
      </w:r>
    </w:p>
    <w:p w14:paraId="666DF80F" w14:textId="72CDE739" w:rsidR="00125857" w:rsidRPr="00FB28DE" w:rsidRDefault="00125857" w:rsidP="008C62D6">
      <w:r w:rsidRPr="00FB28DE">
        <w:lastRenderedPageBreak/>
        <w:t>The National Commission receives enquiries by email, webform and mail. Strong principles, processes and procedures ensure that all enquiries are dealt with in a fair, consistent, and timely manner, and are managed in a respectful and productive way.</w:t>
      </w:r>
    </w:p>
    <w:p w14:paraId="3B47BAE0" w14:textId="3CE1BD13" w:rsidR="00125857" w:rsidRPr="00FB28DE" w:rsidRDefault="00125857" w:rsidP="009F2427">
      <w:pPr>
        <w:pStyle w:val="Heading3"/>
      </w:pPr>
      <w:bookmarkStart w:id="14" w:name="_Toc196749681"/>
      <w:bookmarkStart w:id="15" w:name="_Toc197704838"/>
      <w:bookmarkStart w:id="16" w:name="_Toc199835374"/>
      <w:r w:rsidRPr="00FB28DE">
        <w:t xml:space="preserve">Providing advice to </w:t>
      </w:r>
      <w:r w:rsidR="00E92499" w:rsidRPr="00FB28DE">
        <w:t>G</w:t>
      </w:r>
      <w:r w:rsidRPr="00FB28DE">
        <w:t>overnment</w:t>
      </w:r>
      <w:bookmarkEnd w:id="14"/>
      <w:bookmarkEnd w:id="15"/>
      <w:bookmarkEnd w:id="16"/>
      <w:r w:rsidRPr="00FB28DE">
        <w:t xml:space="preserve"> </w:t>
      </w:r>
    </w:p>
    <w:p w14:paraId="49D8F81F" w14:textId="77777777" w:rsidR="00125857" w:rsidRPr="00FB28DE" w:rsidRDefault="00125857" w:rsidP="009F2427">
      <w:pPr>
        <w:pStyle w:val="Heading4"/>
      </w:pPr>
      <w:bookmarkStart w:id="17" w:name="_Toc196749682"/>
      <w:r w:rsidRPr="00FB28DE">
        <w:t>Government, agencies, and other bodies</w:t>
      </w:r>
      <w:bookmarkEnd w:id="17"/>
    </w:p>
    <w:p w14:paraId="25A9BC0D" w14:textId="0E078FB8" w:rsidR="00125857" w:rsidRPr="00FB28DE" w:rsidRDefault="00125857" w:rsidP="009F2427">
      <w:r w:rsidRPr="00FB28DE">
        <w:t xml:space="preserve">The National Commission engages with elected government officials, administrative bodies, statutory and non-statutory agencies, corporate Commonwealth entities, and research entities to provide expert advice on matters relating to Aboriginal and Torres Strait Islander children and young people. This may include engaging with advisory councils, networks, taskforces, parties to partnerships and agreements, working groups, committees, and forums for sharing expertise and decision-making with non-government stakeholders. </w:t>
      </w:r>
    </w:p>
    <w:p w14:paraId="3BEC4FCA" w14:textId="43E321F1" w:rsidR="00125857" w:rsidRPr="00FB28DE" w:rsidRDefault="44112723" w:rsidP="009F2427">
      <w:r w:rsidRPr="00FB28DE">
        <w:t xml:space="preserve">We are considering how we will work with stakeholders associated with initiatives such as Safe and Supported, the Early Childhood Care and Development Policy Partnership, and the Justice Policy Partnership. In addition, the National Commission may also contribute to the work of other stakeholders providing advice to </w:t>
      </w:r>
      <w:r w:rsidR="00F2515E" w:rsidRPr="00FB28DE">
        <w:t>G</w:t>
      </w:r>
      <w:r w:rsidRPr="00FB28DE">
        <w:t xml:space="preserve">overnment, such as youth and leadership groups, </w:t>
      </w:r>
      <w:proofErr w:type="gramStart"/>
      <w:r w:rsidR="666F8E60" w:rsidRPr="00FB28DE">
        <w:t>community controlled</w:t>
      </w:r>
      <w:proofErr w:type="gramEnd"/>
      <w:r w:rsidRPr="00FB28DE">
        <w:t xml:space="preserve"> organisations, and peak bodies.</w:t>
      </w:r>
    </w:p>
    <w:p w14:paraId="73BDD451" w14:textId="77777777" w:rsidR="00125857" w:rsidRPr="00FB28DE" w:rsidRDefault="00125857" w:rsidP="009F2427">
      <w:pPr>
        <w:pStyle w:val="Heading4"/>
      </w:pPr>
      <w:bookmarkStart w:id="18" w:name="_Toc196749683"/>
      <w:r w:rsidRPr="00FB28DE">
        <w:t>Advice about the National Commission</w:t>
      </w:r>
      <w:bookmarkEnd w:id="18"/>
    </w:p>
    <w:p w14:paraId="548722C2" w14:textId="7514D240" w:rsidR="00125857" w:rsidRPr="00FB28DE" w:rsidRDefault="00125857" w:rsidP="009F2427">
      <w:r w:rsidRPr="00FB28DE">
        <w:t>We will provide ongoing advice to Government about the National Commission’s purpose and functions, as informed by the perspectives and priorities of Aboriginal and Torres Strait Islander children and young people. This includes guiding the development of primary legislation to define the powers, functions, and operational independence required to protect and promote the rights, interests and wellbeing of Aboriginal and Torres Strait Islander children and young people, as well as supporting their voices, goals and aspirations.</w:t>
      </w:r>
    </w:p>
    <w:p w14:paraId="5F4D45B7" w14:textId="77777777" w:rsidR="00125857" w:rsidRPr="00FB28DE" w:rsidRDefault="00125857" w:rsidP="009F2427">
      <w:pPr>
        <w:pStyle w:val="Heading4"/>
      </w:pPr>
      <w:bookmarkStart w:id="19" w:name="_Toc196749684"/>
      <w:r w:rsidRPr="00FB28DE">
        <w:t>Public commentary</w:t>
      </w:r>
      <w:bookmarkEnd w:id="19"/>
    </w:p>
    <w:p w14:paraId="32786422" w14:textId="5DCC9419" w:rsidR="00125857" w:rsidRPr="00FB28DE" w:rsidRDefault="00125857" w:rsidP="009F2427">
      <w:r w:rsidRPr="00FB28DE">
        <w:t>The National Commission makes public commentary to promote Aboriginal and Torres Strait Islander children and young people’s rights, interests, and wellbeing. This includes giving interviews and making statements in the media or on the National Commission’s website and social media accounts.</w:t>
      </w:r>
    </w:p>
    <w:p w14:paraId="4FA64058" w14:textId="2B973667" w:rsidR="00125857" w:rsidRPr="00FB28DE" w:rsidRDefault="00125857" w:rsidP="009F2427">
      <w:r w:rsidRPr="00FB28DE">
        <w:t xml:space="preserve">The National Commission may also contribute to parliamentary or public inquiries and engage with international committees, forums, and accountability mechanisms. </w:t>
      </w:r>
    </w:p>
    <w:p w14:paraId="37FF6190" w14:textId="77777777" w:rsidR="00125857" w:rsidRPr="00FB28DE" w:rsidRDefault="00125857" w:rsidP="002D5E75">
      <w:pPr>
        <w:pStyle w:val="Heading3"/>
      </w:pPr>
      <w:bookmarkStart w:id="20" w:name="_Toc196749685"/>
      <w:bookmarkStart w:id="21" w:name="_Toc197704839"/>
      <w:bookmarkStart w:id="22" w:name="_Toc199835375"/>
      <w:r w:rsidRPr="00FB28DE">
        <w:t>Enhancing national coordination on matters related to Aboriginal and Torres Strait Islander children and young people</w:t>
      </w:r>
      <w:bookmarkEnd w:id="20"/>
      <w:bookmarkEnd w:id="21"/>
      <w:bookmarkEnd w:id="22"/>
    </w:p>
    <w:p w14:paraId="5B4E92E0" w14:textId="26DADF91" w:rsidR="00125857" w:rsidRPr="00FB28DE" w:rsidRDefault="00125857" w:rsidP="009F2427">
      <w:r w:rsidRPr="00FB28DE">
        <w:t>While state and territory governments have responsibility for child protection and youth justice systems, the National Agreement on Closing the Gap requires all governments to work together to implement the priority reforms and make real progress towards our shared targets.</w:t>
      </w:r>
    </w:p>
    <w:p w14:paraId="706572BD" w14:textId="51B141C1" w:rsidR="00125857" w:rsidRPr="00FB28DE" w:rsidRDefault="44112723" w:rsidP="009F2427">
      <w:r w:rsidRPr="00FB28DE">
        <w:t>State and territory Aboriginal and Torres Strait Islander children’s commissioners</w:t>
      </w:r>
      <w:r w:rsidR="53776C4D" w:rsidRPr="00FB28DE">
        <w:t>, children’s commissioners, guardians and advocates</w:t>
      </w:r>
      <w:r w:rsidR="006F30CD" w:rsidRPr="00FB28DE">
        <w:t xml:space="preserve"> </w:t>
      </w:r>
      <w:r w:rsidRPr="00FB28DE">
        <w:t xml:space="preserve">are already undertaking this work on a jurisdictional level. The National Commission will help strengthen and coordinate that work across jurisdictions, as well as in conjunction with the work of the National Children’s Commissioner and </w:t>
      </w:r>
      <w:r w:rsidR="00A45069" w:rsidRPr="00FB28DE">
        <w:t xml:space="preserve">Aboriginal and Torres Strait Islander </w:t>
      </w:r>
      <w:r w:rsidRPr="00FB28DE">
        <w:t xml:space="preserve">Social Justice Commissioner. To this end, we have already commenced work with the Australian and New Zealand Children's Commissioners, Guardians and Advocates (ANZCCGA) group, </w:t>
      </w:r>
      <w:r w:rsidRPr="00FB28DE">
        <w:lastRenderedPageBreak/>
        <w:t>through which commissioners, guardians, and advocates from Australia and New Zealand meet to collaborate, coordinate, and support one another’s work.</w:t>
      </w:r>
    </w:p>
    <w:p w14:paraId="7EEFB4EB" w14:textId="3D62AFE0" w:rsidR="00125857" w:rsidRPr="00FB28DE" w:rsidRDefault="00125857" w:rsidP="009F2427">
      <w:r w:rsidRPr="00FB28DE">
        <w:t xml:space="preserve">We are building relationships across jurisdictions and internationally with stakeholders such as children’s commissioners, guardians, and advocates; peak bodies; community-controlled organisations; and youth groups. This includes mapping work and priorities across states and territories and at a national level – allowing us to undertake our key activities with a view to enhancing national coordination on matters related to Aboriginal and Torres Strait Islander children and young people. </w:t>
      </w:r>
    </w:p>
    <w:p w14:paraId="4CFC89BD" w14:textId="7B99F6F0" w:rsidR="00125857" w:rsidRPr="00FB28DE" w:rsidRDefault="00125857" w:rsidP="009F2427">
      <w:r w:rsidRPr="00FB28DE">
        <w:t xml:space="preserve">We will connect and collaborate with key stakeholders in carrying out the National Commission’s key activities, including supporting youth initiatives, providing advice to </w:t>
      </w:r>
      <w:r w:rsidR="00F2515E" w:rsidRPr="00FB28DE">
        <w:t>G</w:t>
      </w:r>
      <w:r w:rsidRPr="00FB28DE">
        <w:t>overnment, and public commentary – as well as in identifying and defining the core functions and powers required to fulfil its purpose. Engagement in each jurisdiction will take place in consultation and collaboration with the respective children’s commissioners, guardians, and advocates.</w:t>
      </w:r>
    </w:p>
    <w:p w14:paraId="681BE833" w14:textId="0FB60601" w:rsidR="00125857" w:rsidRPr="00FB28DE" w:rsidRDefault="00125857" w:rsidP="00C22CD7">
      <w:r w:rsidRPr="00FB28DE">
        <w:br w:type="page"/>
      </w:r>
    </w:p>
    <w:p w14:paraId="7AA02BB7" w14:textId="5065AFF3" w:rsidR="00125857" w:rsidRPr="00FB28DE" w:rsidRDefault="00125857" w:rsidP="000E55FE">
      <w:pPr>
        <w:pStyle w:val="Heading2"/>
      </w:pPr>
      <w:bookmarkStart w:id="23" w:name="_Toc199835376"/>
      <w:r w:rsidRPr="00FB28DE">
        <w:lastRenderedPageBreak/>
        <w:t>Operating Context</w:t>
      </w:r>
      <w:bookmarkEnd w:id="23"/>
    </w:p>
    <w:p w14:paraId="2BD6657D" w14:textId="453C0AAA" w:rsidR="00125857" w:rsidRPr="00FB28DE" w:rsidRDefault="00125857" w:rsidP="002F5FFA">
      <w:pPr>
        <w:pStyle w:val="Heading3"/>
      </w:pPr>
      <w:bookmarkStart w:id="24" w:name="_Toc199835377"/>
      <w:r w:rsidRPr="00FB28DE">
        <w:t>Environment</w:t>
      </w:r>
      <w:bookmarkEnd w:id="24"/>
    </w:p>
    <w:p w14:paraId="4B35F3D6" w14:textId="5922B964" w:rsidR="00125857" w:rsidRPr="00FB28DE" w:rsidRDefault="00125857" w:rsidP="00FC6EAB">
      <w:pPr>
        <w:pStyle w:val="Heading4"/>
      </w:pPr>
      <w:r w:rsidRPr="00FB28DE">
        <w:t>Diversity</w:t>
      </w:r>
    </w:p>
    <w:p w14:paraId="1FE91494" w14:textId="70C8DC0E" w:rsidR="00125857" w:rsidRPr="00FB28DE" w:rsidRDefault="00125857" w:rsidP="002C6ECA">
      <w:r w:rsidRPr="00FB28DE">
        <w:t>Aboriginal and Torres Strait Islander children and young people are diverse, representing hundreds of distinct Nations, languages, and cultural practices across the continent. Each community has unique ways of being that shape the identities and worldviews of their children – whether they grow up in urban, regional, or remote areas. Strong cultural identity and connection to community are powerful protective factors for children and young people. Work at a national level must recognise and respect this diversity and the vital role that culture and community play in supporting children and young people to thrive.</w:t>
      </w:r>
    </w:p>
    <w:p w14:paraId="6236DC40" w14:textId="64AF0B6E" w:rsidR="00125857" w:rsidRPr="00FB28DE" w:rsidRDefault="00125857" w:rsidP="00AA138C">
      <w:r w:rsidRPr="00FB28DE">
        <w:t>Similarly, intersections with factors such as disability, gender identity, and socio-economic status mean that Aboriginal and Torres Strait Islander children and young people grow up with a diverse range of experiences, strengths, and challenges. Communities require flexibility in tailoring and implementing initiatives that reflect the unique priorities and needs of their children and young people. The National Commission’s work must pursue outcomes that honour and accommodate this diversity.</w:t>
      </w:r>
    </w:p>
    <w:p w14:paraId="57A0A95A" w14:textId="4C2142E7" w:rsidR="00125857" w:rsidRPr="00FB28DE" w:rsidRDefault="00125857" w:rsidP="00B740E4">
      <w:pPr>
        <w:pStyle w:val="Heading4"/>
      </w:pPr>
      <w:r w:rsidRPr="00FB28DE">
        <w:t>National initiatives and partnerships</w:t>
      </w:r>
    </w:p>
    <w:p w14:paraId="59AB6BB2" w14:textId="44B5E08C" w:rsidR="00125857" w:rsidRPr="00FB28DE" w:rsidRDefault="44112723" w:rsidP="002C6ECA">
      <w:r w:rsidRPr="00FB28DE">
        <w:t>The establishment of the National Commission follows longstanding calls from First Nations leaders and peak bodies for a fully empowered and legislated National Commissioner to address the overrepresentation of Aboriginal and Torres Strait Islander children and young people in out</w:t>
      </w:r>
      <w:r w:rsidR="003844A0" w:rsidRPr="00FB28DE">
        <w:noBreakHyphen/>
      </w:r>
      <w:r w:rsidRPr="00FB28DE">
        <w:t>of</w:t>
      </w:r>
      <w:r w:rsidR="003844A0" w:rsidRPr="00FB28DE">
        <w:noBreakHyphen/>
      </w:r>
      <w:r w:rsidRPr="00FB28DE">
        <w:t>home care and youth detention. This is closely related to the work of the National Agreement on Closing the Gap, Safe and Supported, the Early Childhood Care and Development Policy Partnership, and the Justice Policy Partnership, as well as aligned with Australia’s international human rights obligations.</w:t>
      </w:r>
    </w:p>
    <w:p w14:paraId="084B0075" w14:textId="59A34B97" w:rsidR="00125857" w:rsidRPr="00FB28DE" w:rsidRDefault="00125857" w:rsidP="006B63C3">
      <w:pPr>
        <w:shd w:val="clear" w:color="auto" w:fill="FEF0D0" w:themeFill="accent4" w:themeFillTint="33"/>
      </w:pPr>
      <w:r w:rsidRPr="00FB28DE">
        <w:t>First Nations children are 12 times</w:t>
      </w:r>
      <w:r w:rsidRPr="00FB28DE">
        <w:rPr>
          <w:rStyle w:val="EndnoteReference"/>
          <w:rFonts w:ascii="Arial" w:hAnsi="Arial"/>
        </w:rPr>
        <w:endnoteReference w:id="3"/>
      </w:r>
      <w:r w:rsidRPr="00FB28DE">
        <w:t xml:space="preserve"> more likely to be in out-of-home care than non-First Nations children and 27 times more likely to be in youth detention.</w:t>
      </w:r>
      <w:r w:rsidRPr="00FB28DE">
        <w:rPr>
          <w:rStyle w:val="EndnoteReference"/>
          <w:rFonts w:ascii="Arial" w:hAnsi="Arial"/>
        </w:rPr>
        <w:endnoteReference w:id="4"/>
      </w:r>
    </w:p>
    <w:p w14:paraId="0937C42E" w14:textId="70EC58AE" w:rsidR="00125857" w:rsidRPr="00FB28DE" w:rsidRDefault="00125857" w:rsidP="00FC6EAB">
      <w:pPr>
        <w:pStyle w:val="Heading5"/>
      </w:pPr>
      <w:r w:rsidRPr="00FB28DE">
        <w:t>The National Agreement on Closing the Gap</w:t>
      </w:r>
    </w:p>
    <w:p w14:paraId="67A0CC8C" w14:textId="17F0314C" w:rsidR="00125857" w:rsidRPr="00FB28DE" w:rsidRDefault="00125857" w:rsidP="0047671A">
      <w:r w:rsidRPr="00FB28DE">
        <w:t>The National Agreement on Closing the Gap enables Aboriginal and Torres Strait Islander people and governments to work together to overcome the inequality experienced by Aboriginal and Torres Strait Islander people. It identifies 4 priority reforms to improve the way governments work and 19 socioeconomic targets across 17 outcome areas that have an impact on life outcomes for Aboriginal and Torres Strait Islander people.</w:t>
      </w:r>
    </w:p>
    <w:p w14:paraId="72563C1F" w14:textId="0A9B7B5B" w:rsidR="00125857" w:rsidRPr="00FB28DE" w:rsidRDefault="00125857" w:rsidP="0047671A">
      <w:r w:rsidRPr="00FB28DE">
        <w:t xml:space="preserve">The National Commission will play an important role in the National Agreement on Closing the Gap – particularly outcomes 11 and 12, which aim to end the over-representation of Aboriginal and Torres Strait Islander children and young people in the criminal justice system and the child protection system. </w:t>
      </w:r>
    </w:p>
    <w:p w14:paraId="3B6DC48B" w14:textId="420845A4" w:rsidR="00125857" w:rsidRPr="00FB28DE" w:rsidRDefault="00125857" w:rsidP="0047671A">
      <w:r w:rsidRPr="00FB28DE">
        <w:t>All Australian governments have committed to the National Agreement on Closing the Gap, but inconsistent actions, attitudes, and approaches to implementing the priority reforms and reaching the targets creates a dynamic, complex, and changing environment at a national level.</w:t>
      </w:r>
    </w:p>
    <w:p w14:paraId="491A18D7" w14:textId="479D1630" w:rsidR="00125857" w:rsidRPr="00FB28DE" w:rsidRDefault="00125857" w:rsidP="0047671A">
      <w:r w:rsidRPr="00FB28DE">
        <w:lastRenderedPageBreak/>
        <w:t>The Closing the Gap priority reforms are integral to the National Commission’s values, priorities, and ways of working. The National Commission will have a role in promoting transformational change in government organisations and will remain closely tied to the broader work of the National Agreement on Closing the Gap.</w:t>
      </w:r>
    </w:p>
    <w:p w14:paraId="02CB1961" w14:textId="1FAD53FC" w:rsidR="00125857" w:rsidRPr="00FB28DE" w:rsidRDefault="00125857" w:rsidP="00311426">
      <w:pPr>
        <w:shd w:val="clear" w:color="auto" w:fill="FEF0D0" w:themeFill="accent4" w:themeFillTint="33"/>
        <w:rPr>
          <w:b/>
          <w:bCs/>
        </w:rPr>
      </w:pPr>
      <w:r w:rsidRPr="00FB28DE">
        <w:t>First Nations children aged 0–17 make up 6.9% of their age group in the general population but 44.5% of those in out-of-home care.</w:t>
      </w:r>
      <w:r w:rsidRPr="00FB28DE">
        <w:rPr>
          <w:rStyle w:val="EndnoteReference"/>
        </w:rPr>
        <w:endnoteReference w:id="5"/>
      </w:r>
    </w:p>
    <w:p w14:paraId="06AB4B57" w14:textId="6382CC2A" w:rsidR="00125857" w:rsidRPr="00FB28DE" w:rsidRDefault="00125857" w:rsidP="00FF62CE">
      <w:pPr>
        <w:pStyle w:val="Heading5"/>
      </w:pPr>
      <w:r w:rsidRPr="00FB28DE">
        <w:t>Safe and Supported</w:t>
      </w:r>
    </w:p>
    <w:p w14:paraId="7335FE61" w14:textId="5CA3449B" w:rsidR="00125857" w:rsidRPr="00FB28DE" w:rsidRDefault="00125857" w:rsidP="00683A36">
      <w:r w:rsidRPr="00FB28DE">
        <w:t xml:space="preserve">Safe and Supported: </w:t>
      </w:r>
      <w:proofErr w:type="gramStart"/>
      <w:r w:rsidRPr="00FB28DE">
        <w:t>the</w:t>
      </w:r>
      <w:proofErr w:type="gramEnd"/>
      <w:r w:rsidRPr="00FB28DE">
        <w:t xml:space="preserve"> National Framework for Protecting Australia’s Children 2021–2031 (Safe and Supported) is a ten-year blueprint for ensuring Australia’s vulnerable children have the right frameworks, systems, and supports to thrive. It is governed by a partnership agreement between the Safe and Supported Aboriginal and Torres Strait Islander Leadership Group,</w:t>
      </w:r>
      <w:r w:rsidRPr="00FB28DE">
        <w:rPr>
          <w:rStyle w:val="EndnoteReference"/>
        </w:rPr>
        <w:endnoteReference w:id="6"/>
      </w:r>
      <w:r w:rsidRPr="00FB28DE">
        <w:t xml:space="preserve"> the Commonwealth Government, and state and territory </w:t>
      </w:r>
      <w:r w:rsidR="00B51899" w:rsidRPr="00FB28DE">
        <w:t>g</w:t>
      </w:r>
      <w:r w:rsidRPr="00FB28DE">
        <w:t>overnments. The Department of Social Services represents the Minister for Social Services for the purpose of administering the Safe and Supported Partnership Agreement.</w:t>
      </w:r>
    </w:p>
    <w:p w14:paraId="6761C430" w14:textId="2C117A0F" w:rsidR="00125857" w:rsidRPr="00FB28DE" w:rsidRDefault="00125857" w:rsidP="00683A36">
      <w:r w:rsidRPr="00FB28DE">
        <w:t xml:space="preserve">The Safe and Supported Aboriginal and Torres Strait Islander First Action Plan 2023–26 focuses on achieving safety and wellbeing outcomes for Aboriginal and Torres Strait Islander children and young people experiencing disadvantage or vulnerability and commits to urgent action to reduce the over-representation of Aboriginal and Torres Strait Islander children and young people in child protection systems. </w:t>
      </w:r>
    </w:p>
    <w:p w14:paraId="6E5A1788" w14:textId="35FAB3FF" w:rsidR="00125857" w:rsidRPr="00FB28DE" w:rsidRDefault="00125857" w:rsidP="00683A36">
      <w:r w:rsidRPr="00FB28DE">
        <w:t>Action 7c commits to establishing advocacy and accountability roles, including the National Commission, in all jurisdictions to amplify the voices of Aboriginal and Torres Strait Islander children and young people, drive systemic reforms to support their rights and wellbeing, and hold governments and services accountable.</w:t>
      </w:r>
      <w:r w:rsidRPr="00FB28DE">
        <w:rPr>
          <w:rStyle w:val="EndnoteReference"/>
        </w:rPr>
        <w:endnoteReference w:id="7"/>
      </w:r>
    </w:p>
    <w:p w14:paraId="3C58A730" w14:textId="3012B501" w:rsidR="00125857" w:rsidRPr="00FB28DE" w:rsidRDefault="00125857" w:rsidP="00FF62CE">
      <w:pPr>
        <w:pStyle w:val="Heading5"/>
      </w:pPr>
      <w:r w:rsidRPr="00FB28DE">
        <w:t>Early Childhood Care and Development Policy Partnership</w:t>
      </w:r>
    </w:p>
    <w:p w14:paraId="4FEED05F" w14:textId="340BFC51" w:rsidR="00125857" w:rsidRPr="00FB28DE" w:rsidRDefault="00125857" w:rsidP="00984B85">
      <w:r w:rsidRPr="00FB28DE">
        <w:t>The Early Childhood Care and Development Policy Partnership (ECCDPP) was established in August 2022 under the National Agreement on Closing the Gap to drive transformative action to improve outcomes for Aboriginal and Torres Strait Islander children. The partnership comprises representatives from peak organisations and governments, with SNAICC and the Department of Education acting as co-chairs and sharing secretariat duties.</w:t>
      </w:r>
    </w:p>
    <w:p w14:paraId="48EBFA19" w14:textId="3A5A3D1C" w:rsidR="00125857" w:rsidRPr="00FB28DE" w:rsidRDefault="44112723" w:rsidP="00984B85">
      <w:r w:rsidRPr="00FB28DE">
        <w:t xml:space="preserve">The Partnership supports shared decision-making between Aboriginal and Torres Strait Islander leaders and Australian governments under Priority Reform One of the National Agreement on Closing the Gap, in recognition that Aboriginal and Torres Strait Islander people have a right to </w:t>
      </w:r>
      <w:proofErr w:type="spellStart"/>
      <w:r w:rsidRPr="00FB28DE">
        <w:t>self</w:t>
      </w:r>
      <w:r w:rsidR="00DE2CDB" w:rsidRPr="00FB28DE">
        <w:t xml:space="preserve"> </w:t>
      </w:r>
      <w:r w:rsidRPr="00FB28DE">
        <w:t>determination</w:t>
      </w:r>
      <w:proofErr w:type="spellEnd"/>
      <w:r w:rsidRPr="00FB28DE">
        <w:t xml:space="preserve"> and are the experts on matters concerning Aboriginal and Torres Strait Islander children. In 2023, ECCDPP identified the establishment of a fully empowered and legislated National Commission as a priority action.</w:t>
      </w:r>
      <w:r w:rsidR="00125857" w:rsidRPr="00FB28DE">
        <w:rPr>
          <w:rStyle w:val="EndnoteReference"/>
        </w:rPr>
        <w:endnoteReference w:id="8"/>
      </w:r>
    </w:p>
    <w:p w14:paraId="699961FE" w14:textId="2E05522D" w:rsidR="00125857" w:rsidRPr="00FB28DE" w:rsidRDefault="00125857" w:rsidP="00311426">
      <w:pPr>
        <w:shd w:val="clear" w:color="auto" w:fill="FEF0D0" w:themeFill="accent4" w:themeFillTint="33"/>
        <w:rPr>
          <w:b/>
          <w:bCs/>
        </w:rPr>
      </w:pPr>
      <w:r w:rsidRPr="00FB28DE">
        <w:t>First Nations children aged 10–17 make up 6.6% of their age group in the general population but 65% of those in youth detention.</w:t>
      </w:r>
      <w:r w:rsidRPr="00FB28DE">
        <w:rPr>
          <w:rStyle w:val="EndnoteReference"/>
        </w:rPr>
        <w:endnoteReference w:id="9"/>
      </w:r>
    </w:p>
    <w:p w14:paraId="46A8553F" w14:textId="77777777" w:rsidR="00125857" w:rsidRPr="00FB28DE" w:rsidRDefault="00125857" w:rsidP="00B40F58">
      <w:pPr>
        <w:pStyle w:val="Heading5"/>
      </w:pPr>
      <w:r w:rsidRPr="00FB28DE">
        <w:t>Justice Policy Partnership</w:t>
      </w:r>
    </w:p>
    <w:p w14:paraId="42DB2DF9" w14:textId="63189C8F" w:rsidR="00125857" w:rsidRPr="00FB28DE" w:rsidRDefault="00125857" w:rsidP="00B40F58">
      <w:r w:rsidRPr="00FB28DE">
        <w:t xml:space="preserve">The Justice Policy Partnership was established in 2021 under Priority Reform One of the National Agreement on Closing the Gap. Co-chaired by the Attorney-General’s Department and the National Aboriginal and Torres Strait Island Legal Services, it focuses on a national approach to Outcomes 10 </w:t>
      </w:r>
      <w:r w:rsidRPr="00FB28DE">
        <w:lastRenderedPageBreak/>
        <w:t xml:space="preserve">and 11, which aim to address the over-representation of Aboriginal and Torres Strait Islander adults, children, and young people in the criminal justice system. </w:t>
      </w:r>
    </w:p>
    <w:p w14:paraId="6D7F8C5C" w14:textId="7E8BCC0A" w:rsidR="00125857" w:rsidRPr="00FB28DE" w:rsidRDefault="00125857" w:rsidP="00B40F58">
      <w:r w:rsidRPr="00FB28DE">
        <w:t xml:space="preserve">The Justice Policy Partnership has members representing Australian </w:t>
      </w:r>
      <w:r w:rsidR="00B51899" w:rsidRPr="00FB28DE">
        <w:t>G</w:t>
      </w:r>
      <w:r w:rsidRPr="00FB28DE">
        <w:t>overnment, state and territory governments, Aboriginal and Torres Strait Islander community-controlled organisations, and Aboriginal and Torres Strait Islander justice experts. The National Commission will also work in this space with the goal of reducing the over-representation of Aboriginal and Torres Strait Islander children and young people in the criminal justice system.</w:t>
      </w:r>
    </w:p>
    <w:p w14:paraId="57D4C810" w14:textId="77777777" w:rsidR="00125857" w:rsidRPr="00FB28DE" w:rsidRDefault="00125857" w:rsidP="00F55BB5">
      <w:pPr>
        <w:pStyle w:val="Heading5"/>
      </w:pPr>
      <w:r w:rsidRPr="00FB28DE">
        <w:t>Human Rights</w:t>
      </w:r>
    </w:p>
    <w:p w14:paraId="2F918969" w14:textId="1CF447CB" w:rsidR="00125857" w:rsidRPr="00FB28DE" w:rsidRDefault="00125857" w:rsidP="00F55BB5">
      <w:r w:rsidRPr="00FB28DE">
        <w:t>Australia’s human rights obligations under international instruments such as the United Nations Convention on the Rights of the Child and the Declaration on the Rights of Indigenous Peoples define the National Commission’s operating environment. These frameworks require Australia to uphold and protect the rights of Aboriginal and Torres Strait Islander children and young people. Other international instruments reinforce their intersectional rights and outline the protections that governments and systems are obliged to provide them.</w:t>
      </w:r>
    </w:p>
    <w:p w14:paraId="2F0A674E" w14:textId="04CDCF51" w:rsidR="00125857" w:rsidRPr="00FB28DE" w:rsidRDefault="00125857" w:rsidP="00F55BB5">
      <w:r w:rsidRPr="00FB28DE">
        <w:t xml:space="preserve">In line with these agreements, the National Commission strives for a world in which children’s best interests are prioritised, their right to be heard is recognised, and their cultures, languages, and traditions are passed down by self-determining communities. </w:t>
      </w:r>
    </w:p>
    <w:p w14:paraId="68A303BE" w14:textId="53CB5EA1" w:rsidR="00125857" w:rsidRPr="00FB28DE" w:rsidRDefault="00125857" w:rsidP="00CD023A">
      <w:pPr>
        <w:pStyle w:val="Heading4"/>
      </w:pPr>
      <w:r w:rsidRPr="00FB28DE">
        <w:t>States and Territories</w:t>
      </w:r>
    </w:p>
    <w:p w14:paraId="7177E650" w14:textId="5C64D2A2" w:rsidR="00125857" w:rsidRPr="00FB28DE" w:rsidRDefault="00125857" w:rsidP="009E3078">
      <w:r w:rsidRPr="00FB28DE">
        <w:t>As child protection and youth justice are primarily the responsibility of jurisdictions, state and territory government agendas and election cycles influence commitments and reforms in these areas. Jurisdictional policy, legislation, programs, and outcomes may align more closely with changing local contexts than with national agreements. Additionally, a large number of reviews and inquiries have investigated and made recommendations for specific jurisdictional circumstances, and the respective governments have taken unique approaches to responding to those recommendations.</w:t>
      </w:r>
    </w:p>
    <w:p w14:paraId="46B3F0BB" w14:textId="2CE57540" w:rsidR="00125857" w:rsidRPr="00FB28DE" w:rsidRDefault="00125857" w:rsidP="00A5067D">
      <w:r w:rsidRPr="00FB28DE">
        <w:t>Each jurisdiction also has its own youth initiatives, peak bodies, non-government organisations, community-controlled organisations, and service providers, which receive various amounts of funding according to different structures and cycles, and which advocate for reforms most relevant to their circumstances.</w:t>
      </w:r>
    </w:p>
    <w:p w14:paraId="32C7E15A" w14:textId="1918F347" w:rsidR="00125857" w:rsidRPr="00FB28DE" w:rsidRDefault="00125857" w:rsidP="009E3078">
      <w:r w:rsidRPr="00FB28DE">
        <w:t>On a national level, the National Commission’s work intersects with that of the National Children’s Commissioner and the Aboriginal and Torres Strait Islander Social Justice Commissioner, who also work with jurisdictional stakeholders. States and territories have children’s commissioners, guardians, and advocates with varying powers and functions, who set their own work programs and whose terms conclude at different times. The National Commission will form strong relationships across jurisdictions to enhance coordination and provide a focus on national priorities that promote and protect the rights of Aboriginal and Torres Strait Islander children and young people.</w:t>
      </w:r>
    </w:p>
    <w:p w14:paraId="313B2CA7" w14:textId="77777777" w:rsidR="00292A3E" w:rsidRPr="00FB28DE" w:rsidRDefault="00292A3E">
      <w:pPr>
        <w:spacing w:after="240"/>
        <w:rPr>
          <w:rFonts w:asciiTheme="majorHAnsi" w:eastAsiaTheme="majorEastAsia" w:hAnsiTheme="majorHAnsi" w:cstheme="majorBidi"/>
          <w:b/>
          <w:bCs/>
          <w:color w:val="4C41A0" w:themeColor="accent1"/>
          <w:sz w:val="28"/>
        </w:rPr>
      </w:pPr>
      <w:r w:rsidRPr="00FB28DE">
        <w:br w:type="page"/>
      </w:r>
    </w:p>
    <w:p w14:paraId="668F1FD1" w14:textId="6F191B5A" w:rsidR="00125857" w:rsidRPr="00FB28DE" w:rsidRDefault="00125857" w:rsidP="00A17503">
      <w:pPr>
        <w:pStyle w:val="Heading3"/>
      </w:pPr>
      <w:bookmarkStart w:id="25" w:name="_Toc199835378"/>
      <w:r w:rsidRPr="00FB28DE">
        <w:lastRenderedPageBreak/>
        <w:t>Capability</w:t>
      </w:r>
      <w:bookmarkEnd w:id="25"/>
    </w:p>
    <w:p w14:paraId="64D4D2C2" w14:textId="77777777" w:rsidR="00125857" w:rsidRPr="00FB28DE" w:rsidRDefault="00125857" w:rsidP="00D2161A">
      <w:pPr>
        <w:pStyle w:val="Heading4"/>
      </w:pPr>
      <w:r w:rsidRPr="00FB28DE">
        <w:t>Our people</w:t>
      </w:r>
    </w:p>
    <w:p w14:paraId="53A643CD" w14:textId="6AA87700" w:rsidR="00125857" w:rsidRPr="00FB28DE" w:rsidRDefault="00125857" w:rsidP="00D2161A">
      <w:r w:rsidRPr="00FB28DE">
        <w:t>The National Commission comprises a small team with diverse experience in government, stakeholder engagement, communications, policy development, and service delivery. We are committed to fostering a culturally safe workplace and centring the interests of Aboriginal and Torres Strait Islander children and young people in everything we do.</w:t>
      </w:r>
    </w:p>
    <w:p w14:paraId="2C83FBD2" w14:textId="0D1628AD" w:rsidR="00125857" w:rsidRPr="00FB28DE" w:rsidRDefault="00125857" w:rsidP="00D2161A">
      <w:r w:rsidRPr="00FB28DE">
        <w:t xml:space="preserve">The National Commission consists of the National Commissioner, who is the Agency Head and Accountable Authority, and employees engaged to assist the Agency Head under section 65(2) of the </w:t>
      </w:r>
      <w:r w:rsidRPr="00FB28DE">
        <w:rPr>
          <w:i/>
          <w:iCs/>
        </w:rPr>
        <w:t>Public Service Act 1999</w:t>
      </w:r>
      <w:r w:rsidRPr="00FB28DE">
        <w:t>.</w:t>
      </w:r>
    </w:p>
    <w:p w14:paraId="5E6073CA" w14:textId="77777777" w:rsidR="00125857" w:rsidRPr="00FB28DE" w:rsidRDefault="00125857" w:rsidP="00D2161A">
      <w:pPr>
        <w:pStyle w:val="Heading4"/>
      </w:pPr>
      <w:r w:rsidRPr="00FB28DE">
        <w:t>Shared services and ways of working</w:t>
      </w:r>
    </w:p>
    <w:p w14:paraId="3546F7AE" w14:textId="0B31B65F" w:rsidR="00125857" w:rsidRPr="00FB28DE" w:rsidRDefault="00125857" w:rsidP="007C2C1B">
      <w:r w:rsidRPr="00FB28DE">
        <w:t>Our health, safety and wellbeing, information and technology capability, staff training and support, property and building services, corporate services, and human resources support are provided under a shared services arrangement with the Department of Social Services.</w:t>
      </w:r>
    </w:p>
    <w:p w14:paraId="4214C527" w14:textId="7EFBE531" w:rsidR="00125857" w:rsidRPr="00FB28DE" w:rsidRDefault="00125857" w:rsidP="007C2C1B">
      <w:r w:rsidRPr="00FB28DE">
        <w:t>In the establishment phase, the National Commission will operate under the Department of Social Services Enterprise Agreement 2024–2027. National Commission staff are afforded the same conditions as those of the Department of Social Services and are guided by the same human resources policies.</w:t>
      </w:r>
    </w:p>
    <w:p w14:paraId="31DC421C" w14:textId="77777777" w:rsidR="00125857" w:rsidRPr="00FB28DE" w:rsidRDefault="00125857" w:rsidP="00D2161A">
      <w:pPr>
        <w:pStyle w:val="Heading4"/>
      </w:pPr>
      <w:r w:rsidRPr="00FB28DE">
        <w:t>Our governance</w:t>
      </w:r>
    </w:p>
    <w:p w14:paraId="7A289128" w14:textId="77777777" w:rsidR="00125857" w:rsidRPr="00FB28DE" w:rsidRDefault="00125857" w:rsidP="00C421A0">
      <w:r w:rsidRPr="00FB28DE">
        <w:t xml:space="preserve">As the Accountable Authority, the National Commissioner oversees our risk management, control, and compliance requirements. We will continue to improve our governance and management practices as the National Commission grows in our resourcing and capabilities. </w:t>
      </w:r>
    </w:p>
    <w:p w14:paraId="69E0F6F3" w14:textId="7569E2A4" w:rsidR="00125857" w:rsidRPr="00FB28DE" w:rsidRDefault="00125857" w:rsidP="00C421A0">
      <w:r w:rsidRPr="00FB28DE">
        <w:t xml:space="preserve">The National Commission is supported by the Department of Social Services Audit and Risk Committee. The Audit and Risk Committee will act as a source of advice to the National Commission on the appropriateness of our financial and performance reporting, system of risk oversight and management, and system of internal controls. </w:t>
      </w:r>
    </w:p>
    <w:p w14:paraId="56FF9512" w14:textId="4D07E04C" w:rsidR="00125857" w:rsidRPr="00FB28DE" w:rsidRDefault="00125857" w:rsidP="00E93F04">
      <w:pPr>
        <w:pStyle w:val="Heading4"/>
      </w:pPr>
      <w:r w:rsidRPr="00FB28DE">
        <w:t>Capability and primary legislation</w:t>
      </w:r>
    </w:p>
    <w:p w14:paraId="7598CB5C" w14:textId="77777777" w:rsidR="00125857" w:rsidRPr="00FB28DE" w:rsidRDefault="00125857" w:rsidP="00495E10">
      <w:pPr>
        <w:rPr>
          <w:lang w:eastAsia="en-AU"/>
        </w:rPr>
      </w:pPr>
      <w:r w:rsidRPr="00FB28DE">
        <w:rPr>
          <w:lang w:eastAsia="en-AU"/>
        </w:rPr>
        <w:t xml:space="preserve">We are undertaking consultation on the roles, powers and functions required to fulfil the National Commission’s purpose, which will be enshrined in primary legislation. </w:t>
      </w:r>
    </w:p>
    <w:p w14:paraId="4A1AC2C2" w14:textId="541FA4C0" w:rsidR="00125857" w:rsidRPr="00FB28DE" w:rsidRDefault="00125857" w:rsidP="00495E10">
      <w:r w:rsidRPr="00FB28DE">
        <w:t xml:space="preserve">The establishment of the National Commission is the product of sustained advocacy from the sector. First Nations stakeholders engaged in extensive discussions with </w:t>
      </w:r>
      <w:r w:rsidR="00C20C81" w:rsidRPr="00FB28DE">
        <w:t>G</w:t>
      </w:r>
      <w:r w:rsidRPr="00FB28DE">
        <w:t>overnment to secure a commitment that reflected the priorities and needs of First Nations people. This included a requirement that the National Commission be truly independent and have the powers, resources and funding needed to carry out its role.</w:t>
      </w:r>
    </w:p>
    <w:p w14:paraId="7FAE6902" w14:textId="2D5AF0C0" w:rsidR="00125857" w:rsidRPr="00FB28DE" w:rsidRDefault="00125857" w:rsidP="00495E10">
      <w:r w:rsidRPr="00FB28DE">
        <w:t>The Australian Government has also highlighted the role that the National Commission is expected to fill, including as a critical factor in reducing the over-representation of Aboriginal and Torres Strait Islander children in youth detention and out-of-home care. This includes the expectation that the National Commission will facilitate greater action at a national level with states and territories to make meaningful progress on matters related to Aboriginal and Torres Strait Islander children and young people.</w:t>
      </w:r>
    </w:p>
    <w:p w14:paraId="60FF7E71" w14:textId="77C3C025" w:rsidR="00125857" w:rsidRPr="00FB28DE" w:rsidRDefault="00125857" w:rsidP="00495E10">
      <w:r w:rsidRPr="00FB28DE">
        <w:rPr>
          <w:rFonts w:cs="Arial"/>
          <w:lang w:eastAsia="en-AU"/>
        </w:rPr>
        <w:lastRenderedPageBreak/>
        <w:t>Consultation will further determine the powers and functions required to productively engage with and influence state and territory governments, which have primary responsibility for youth justice and child protection. The National Commission will need to bridge the gap between jurisdictions and Australia’s international human rights obligations, including affecting compliance with the Declaration on the Rights of Indigenous Peoples and the Convention on the Rights of the Child, as well as relevant national obligations such as child safe standards.</w:t>
      </w:r>
    </w:p>
    <w:p w14:paraId="44A293AF" w14:textId="5D00432C" w:rsidR="00125857" w:rsidRPr="00FB28DE" w:rsidRDefault="44112723" w:rsidP="00495E10">
      <w:pPr>
        <w:rPr>
          <w:rFonts w:cs="Arial"/>
          <w:lang w:eastAsia="en-AU"/>
        </w:rPr>
      </w:pPr>
      <w:r w:rsidRPr="00FB28DE">
        <w:rPr>
          <w:rFonts w:cs="Arial"/>
          <w:lang w:eastAsia="en-AU"/>
        </w:rPr>
        <w:t xml:space="preserve">The Department of Social Services will lead the development of the primary legislation in consultation with the National Commission and other key stakeholders, including national and jurisdictional commissioners </w:t>
      </w:r>
      <w:r w:rsidR="08597090" w:rsidRPr="00FB28DE">
        <w:rPr>
          <w:rFonts w:cs="Arial"/>
          <w:lang w:eastAsia="en-AU"/>
        </w:rPr>
        <w:t xml:space="preserve">and peak organisations </w:t>
      </w:r>
      <w:r w:rsidRPr="00FB28DE">
        <w:rPr>
          <w:rFonts w:cs="Arial"/>
          <w:lang w:eastAsia="en-AU"/>
        </w:rPr>
        <w:t xml:space="preserve">who will help determine the legislation required to ensure that the National Commission can effectively advocate for First Nations families, provide oversight of systems and services, and hold governments to account. This includes determining the staffing and resources needed to fulfil the National Commission’s functions and obligations. For example, the National Commission will require multiple teams of staff to focus on areas such as corporate governance and operations; engagement with children, young people, families, and stakeholders; enquiries and investigations; research and strategy; media and communications; and advice to </w:t>
      </w:r>
      <w:r w:rsidR="00C20C81" w:rsidRPr="00FB28DE">
        <w:rPr>
          <w:rFonts w:cs="Arial"/>
          <w:lang w:eastAsia="en-AU"/>
        </w:rPr>
        <w:t>G</w:t>
      </w:r>
      <w:r w:rsidRPr="00FB28DE">
        <w:rPr>
          <w:rFonts w:cs="Arial"/>
          <w:lang w:eastAsia="en-AU"/>
        </w:rPr>
        <w:t xml:space="preserve">overnment. This work will span both child protection and youth justice across all states and territories, as well as focusing on broader issues and amplifying the voices and priorities of children and young people themselves. </w:t>
      </w:r>
    </w:p>
    <w:p w14:paraId="0B488F42" w14:textId="34610493" w:rsidR="004F6A7E" w:rsidRPr="00FB28DE" w:rsidRDefault="00093EC3" w:rsidP="00495E10">
      <w:pPr>
        <w:rPr>
          <w:rFonts w:cs="Arial"/>
          <w:lang w:eastAsia="en-AU"/>
        </w:rPr>
      </w:pPr>
      <w:r w:rsidRPr="00FB28DE">
        <w:rPr>
          <w:rFonts w:cs="Arial"/>
          <w:lang w:eastAsia="en-AU"/>
        </w:rPr>
        <w:t>While the Department of Social Services is the policy agency responsible for progressing legislation and future budget submissions, it is anticipated that the National Commission will be involved in the consultation and advice to Government.</w:t>
      </w:r>
    </w:p>
    <w:p w14:paraId="3A8E8A1F" w14:textId="3D741D21" w:rsidR="00125857" w:rsidRPr="00FB28DE" w:rsidRDefault="00125857" w:rsidP="007D7CE2">
      <w:pPr>
        <w:pStyle w:val="Heading3"/>
      </w:pPr>
      <w:bookmarkStart w:id="26" w:name="_Toc199835379"/>
      <w:r w:rsidRPr="00FB28DE">
        <w:t>Risk</w:t>
      </w:r>
      <w:bookmarkEnd w:id="26"/>
    </w:p>
    <w:p w14:paraId="0CB8E892" w14:textId="31F9A55E" w:rsidR="00125857" w:rsidRPr="00FB28DE" w:rsidRDefault="00125857" w:rsidP="00722486">
      <w:pPr>
        <w:pStyle w:val="Heading4"/>
      </w:pPr>
      <w:r w:rsidRPr="00FB28DE">
        <w:t xml:space="preserve">Our risk governance </w:t>
      </w:r>
    </w:p>
    <w:p w14:paraId="2CBEEC40" w14:textId="77777777" w:rsidR="00125857" w:rsidRPr="00FB28DE" w:rsidRDefault="00125857" w:rsidP="00722486">
      <w:pPr>
        <w:rPr>
          <w:color w:val="000000" w:themeColor="text1"/>
        </w:rPr>
      </w:pPr>
      <w:r w:rsidRPr="00FB28DE">
        <w:rPr>
          <w:color w:val="000000" w:themeColor="text1"/>
        </w:rPr>
        <w:t xml:space="preserve">The National Commissioner and the Governance and Government Relations team oversee the National Commission’s risk management, control, and compliance requirements. </w:t>
      </w:r>
    </w:p>
    <w:p w14:paraId="337A2A78" w14:textId="77777777" w:rsidR="00125857" w:rsidRPr="00FB28DE" w:rsidRDefault="00125857" w:rsidP="00722486">
      <w:pPr>
        <w:rPr>
          <w:color w:val="000000" w:themeColor="text1"/>
        </w:rPr>
      </w:pPr>
      <w:r w:rsidRPr="00FB28DE">
        <w:rPr>
          <w:color w:val="000000" w:themeColor="text1"/>
        </w:rPr>
        <w:t xml:space="preserve">They are supported by an Audit and Risk Committee, which works independently to ensure the appropriateness of the National Commission's financial and performance reporting, system of risk oversight and management, and system of internal controls. </w:t>
      </w:r>
    </w:p>
    <w:p w14:paraId="70BC018D" w14:textId="77777777" w:rsidR="00125857" w:rsidRPr="00FB28DE" w:rsidRDefault="00125857" w:rsidP="00722486">
      <w:pPr>
        <w:pStyle w:val="Heading4"/>
      </w:pPr>
      <w:r w:rsidRPr="00FB28DE">
        <w:t>Our risk management</w:t>
      </w:r>
    </w:p>
    <w:p w14:paraId="779474C2" w14:textId="5FA78C9A" w:rsidR="00125857" w:rsidRPr="00FB28DE" w:rsidRDefault="00125857" w:rsidP="00722486">
      <w:pPr>
        <w:rPr>
          <w:color w:val="000000" w:themeColor="text1"/>
        </w:rPr>
      </w:pPr>
      <w:r w:rsidRPr="00FB28DE">
        <w:rPr>
          <w:color w:val="000000" w:themeColor="text1"/>
        </w:rPr>
        <w:t xml:space="preserve">The National Commission operates in an ever-changing environment of strategic, operational, shared, and emerging risks in order to deliver on our purpose and objectives. Risk management strategies are embedded across the National Commission and support evidence-based decision-making. Risks are managed in accordance with the nine elements of the Commonwealth Risk Management Policy. </w:t>
      </w:r>
    </w:p>
    <w:p w14:paraId="15501E1B" w14:textId="67D7A1BD" w:rsidR="00125857" w:rsidRPr="00FB28DE" w:rsidRDefault="00125857" w:rsidP="00722486">
      <w:pPr>
        <w:rPr>
          <w:color w:val="000000" w:themeColor="text1"/>
        </w:rPr>
      </w:pPr>
      <w:r w:rsidRPr="00FB28DE">
        <w:rPr>
          <w:color w:val="000000" w:themeColor="text1"/>
        </w:rPr>
        <w:t>We are working to establish a Risk Management Framework that outlines the National Commission’s approach to effective risk management and provides a robust methodology. The Framework comprises:</w:t>
      </w:r>
    </w:p>
    <w:p w14:paraId="3D9FAD61" w14:textId="48CCA158" w:rsidR="00125857" w:rsidRPr="00FB28DE" w:rsidRDefault="00125857" w:rsidP="00722486">
      <w:pPr>
        <w:pStyle w:val="ListParagraph"/>
        <w:numPr>
          <w:ilvl w:val="0"/>
          <w:numId w:val="32"/>
        </w:numPr>
        <w:rPr>
          <w:color w:val="000000" w:themeColor="text1"/>
        </w:rPr>
      </w:pPr>
      <w:r w:rsidRPr="00FB28DE">
        <w:rPr>
          <w:color w:val="000000" w:themeColor="text1"/>
        </w:rPr>
        <w:t>a Risk Management Policy</w:t>
      </w:r>
    </w:p>
    <w:p w14:paraId="31CB253A" w14:textId="7E01CAE3" w:rsidR="00125857" w:rsidRPr="00FB28DE" w:rsidRDefault="00125857" w:rsidP="00722486">
      <w:pPr>
        <w:pStyle w:val="ListParagraph"/>
        <w:numPr>
          <w:ilvl w:val="0"/>
          <w:numId w:val="32"/>
        </w:numPr>
        <w:rPr>
          <w:color w:val="000000" w:themeColor="text1"/>
        </w:rPr>
      </w:pPr>
      <w:r w:rsidRPr="00FB28DE">
        <w:rPr>
          <w:color w:val="000000" w:themeColor="text1"/>
        </w:rPr>
        <w:t>a Risk Management Procedure</w:t>
      </w:r>
    </w:p>
    <w:p w14:paraId="03941ADA" w14:textId="45A0C220" w:rsidR="00125857" w:rsidRPr="00FB28DE" w:rsidRDefault="00125857" w:rsidP="0092229D">
      <w:pPr>
        <w:pStyle w:val="ListParagraph"/>
        <w:rPr>
          <w:color w:val="000000" w:themeColor="text1"/>
        </w:rPr>
      </w:pPr>
      <w:r w:rsidRPr="00FB28DE">
        <w:rPr>
          <w:color w:val="000000" w:themeColor="text1"/>
        </w:rPr>
        <w:t>an Issues Management Procedure.</w:t>
      </w:r>
    </w:p>
    <w:p w14:paraId="31507B14" w14:textId="29C59253" w:rsidR="00125857" w:rsidRPr="00FB28DE" w:rsidRDefault="00125857" w:rsidP="00193994">
      <w:pPr>
        <w:pStyle w:val="Heading3"/>
      </w:pPr>
      <w:bookmarkStart w:id="27" w:name="_Toc199835380"/>
      <w:r w:rsidRPr="00FB28DE">
        <w:lastRenderedPageBreak/>
        <w:t>Cooperation and collaboration</w:t>
      </w:r>
      <w:bookmarkEnd w:id="27"/>
    </w:p>
    <w:p w14:paraId="0BD8D2E9" w14:textId="67C550F4" w:rsidR="00125857" w:rsidRPr="00FB28DE" w:rsidRDefault="00125857" w:rsidP="319E7182">
      <w:r w:rsidRPr="00FB28DE">
        <w:t xml:space="preserve">As a newly established agency, we are focused on building relationships with a diverse range of stakeholders. This includes connecting with a large network of state and territory, national, and international organisations already advancing the rights, interests, and wellbeing of Aboriginal and Torres Strait Islander children and young people. </w:t>
      </w:r>
    </w:p>
    <w:p w14:paraId="66EC2F48" w14:textId="62B76198" w:rsidR="00125857" w:rsidRPr="00FB28DE" w:rsidRDefault="00125857" w:rsidP="319E7182">
      <w:r w:rsidRPr="00FB28DE">
        <w:t>The National Commission will specifically work collaboratively with:</w:t>
      </w:r>
    </w:p>
    <w:p w14:paraId="1C360E36" w14:textId="6436FDCE" w:rsidR="00125857" w:rsidRPr="00FB28DE" w:rsidRDefault="00125857" w:rsidP="00236DAF">
      <w:pPr>
        <w:pStyle w:val="ListParagraph"/>
        <w:numPr>
          <w:ilvl w:val="0"/>
          <w:numId w:val="29"/>
        </w:numPr>
      </w:pPr>
      <w:r w:rsidRPr="00FB28DE">
        <w:t xml:space="preserve">Aboriginal and Torres Strait Islander children and young people and their families </w:t>
      </w:r>
    </w:p>
    <w:p w14:paraId="54A456BC" w14:textId="6EFF1281" w:rsidR="00125857" w:rsidRPr="00FB28DE" w:rsidRDefault="00125857" w:rsidP="00236DAF">
      <w:pPr>
        <w:pStyle w:val="ListParagraph"/>
        <w:numPr>
          <w:ilvl w:val="0"/>
          <w:numId w:val="29"/>
        </w:numPr>
      </w:pPr>
      <w:r w:rsidRPr="00FB28DE">
        <w:t>Aboriginal and Torres Strait Islander community leaders, advocates, and Elders</w:t>
      </w:r>
    </w:p>
    <w:p w14:paraId="2923D8C8" w14:textId="03542D63" w:rsidR="00125857" w:rsidRPr="00FB28DE" w:rsidRDefault="00125857" w:rsidP="007F6D5D">
      <w:pPr>
        <w:pStyle w:val="ListParagraph"/>
        <w:numPr>
          <w:ilvl w:val="0"/>
          <w:numId w:val="29"/>
        </w:numPr>
      </w:pPr>
      <w:r w:rsidRPr="00FB28DE">
        <w:t>Commonwealth and state and territory governments, commissioners, guardians, and advocates</w:t>
      </w:r>
    </w:p>
    <w:p w14:paraId="266AD4F4" w14:textId="21F9BEB7" w:rsidR="00125857" w:rsidRPr="00FB28DE" w:rsidRDefault="00125857" w:rsidP="00236DAF">
      <w:pPr>
        <w:pStyle w:val="ListParagraph"/>
        <w:numPr>
          <w:ilvl w:val="0"/>
          <w:numId w:val="29"/>
        </w:numPr>
      </w:pPr>
      <w:r w:rsidRPr="00FB28DE">
        <w:t xml:space="preserve">peak bodies, frontline services, and Aboriginal community-controlled organisations </w:t>
      </w:r>
    </w:p>
    <w:p w14:paraId="3AFC0714" w14:textId="7D98BE05" w:rsidR="00125857" w:rsidRPr="00FB28DE" w:rsidRDefault="00125857" w:rsidP="00D761D6">
      <w:pPr>
        <w:pStyle w:val="ListParagraph"/>
        <w:numPr>
          <w:ilvl w:val="0"/>
          <w:numId w:val="29"/>
        </w:numPr>
      </w:pPr>
      <w:r w:rsidRPr="00FB28DE">
        <w:t xml:space="preserve">national and international bodies and research institutes. </w:t>
      </w:r>
    </w:p>
    <w:p w14:paraId="0952BF84" w14:textId="6C682B6A" w:rsidR="00125857" w:rsidRPr="00FB28DE" w:rsidRDefault="00125857" w:rsidP="00085B0A">
      <w:r w:rsidRPr="00FB28DE">
        <w:t xml:space="preserve">We recognise that these relationships are fundamental to delivering the National Commission’s functions and key objectives of reducing the over-representation of Aboriginal and Torres Strait Islander children and young people in Australia’s youth justice and child protection systems. </w:t>
      </w:r>
    </w:p>
    <w:p w14:paraId="18AE0E59" w14:textId="59DA4276" w:rsidR="00125857" w:rsidRPr="00FB28DE" w:rsidRDefault="00125857" w:rsidP="003D1E04">
      <w:pPr>
        <w:pStyle w:val="Heading4"/>
      </w:pPr>
      <w:r w:rsidRPr="00FB28DE">
        <w:t xml:space="preserve">Key engagements </w:t>
      </w:r>
    </w:p>
    <w:p w14:paraId="765D3FDA" w14:textId="38C07651" w:rsidR="00FC4E8D" w:rsidRPr="00FB28DE" w:rsidRDefault="00125857" w:rsidP="00085B0A">
      <w:r w:rsidRPr="00FB28DE">
        <w:t>The National Commissioner attends a range of Commonwealth Government committee meetings that focus on strengthening outcomes for Aboriginal and Torres Strait Islander children and young people. These have included meetings of the Safe and Supported Aboriginal and Torres Strait Islander Leadership Group,</w:t>
      </w:r>
      <w:r w:rsidRPr="00FB28DE">
        <w:rPr>
          <w:rStyle w:val="EndnoteReference"/>
        </w:rPr>
        <w:endnoteReference w:id="10"/>
      </w:r>
      <w:r w:rsidRPr="00FB28DE">
        <w:t xml:space="preserve"> the Education Childhood Care and Development Policy Partnership</w:t>
      </w:r>
      <w:r w:rsidRPr="00FB28DE">
        <w:rPr>
          <w:rStyle w:val="EndnoteReference"/>
        </w:rPr>
        <w:endnoteReference w:id="11"/>
      </w:r>
      <w:r w:rsidRPr="00FB28DE">
        <w:t xml:space="preserve"> and Supporting Quality Engagement for Children.</w:t>
      </w:r>
      <w:r w:rsidRPr="00FB28DE">
        <w:rPr>
          <w:rStyle w:val="EndnoteReference"/>
        </w:rPr>
        <w:endnoteReference w:id="12"/>
      </w:r>
      <w:r w:rsidRPr="00FB28DE">
        <w:t xml:space="preserve"> </w:t>
      </w:r>
    </w:p>
    <w:p w14:paraId="2FC9B8D4" w14:textId="6E1DDEA0" w:rsidR="00DF136F" w:rsidRPr="00FB28DE" w:rsidRDefault="00583262" w:rsidP="319E7182">
      <w:r w:rsidRPr="00FB28DE">
        <w:t xml:space="preserve">Through these meetings, the </w:t>
      </w:r>
      <w:r w:rsidR="00822CBD" w:rsidRPr="00FB28DE">
        <w:t xml:space="preserve">National </w:t>
      </w:r>
      <w:r w:rsidRPr="00FB28DE">
        <w:t>Commissioner works closely with peak bodies</w:t>
      </w:r>
      <w:r w:rsidR="00822CBD" w:rsidRPr="00FB28DE">
        <w:t>,</w:t>
      </w:r>
      <w:r w:rsidRPr="00FB28DE">
        <w:t xml:space="preserve"> such as SNAICC – National Voice for Our Children</w:t>
      </w:r>
      <w:r w:rsidR="00B476E5" w:rsidRPr="00FB28DE">
        <w:t xml:space="preserve">, which </w:t>
      </w:r>
      <w:r w:rsidR="00B232F8" w:rsidRPr="00FB28DE">
        <w:t>advocate for the rights and wellbeing of Aboriginal and Torres Strait Islander children and families</w:t>
      </w:r>
      <w:r w:rsidR="00DF580B" w:rsidRPr="00FB28DE">
        <w:t xml:space="preserve">. </w:t>
      </w:r>
      <w:r w:rsidR="00045EEF" w:rsidRPr="00FB28DE">
        <w:t xml:space="preserve">The </w:t>
      </w:r>
      <w:r w:rsidR="00AB5622" w:rsidRPr="00FB28DE">
        <w:t xml:space="preserve">National </w:t>
      </w:r>
      <w:r w:rsidR="00045EEF" w:rsidRPr="00FB28DE">
        <w:t xml:space="preserve">Commissioner </w:t>
      </w:r>
      <w:r w:rsidR="00AB5622" w:rsidRPr="00FB28DE">
        <w:t>and other staff</w:t>
      </w:r>
      <w:r w:rsidR="00887A8D" w:rsidRPr="00FB28DE">
        <w:t xml:space="preserve"> also</w:t>
      </w:r>
      <w:r w:rsidR="003D1E04" w:rsidRPr="00FB28DE">
        <w:t xml:space="preserve"> </w:t>
      </w:r>
      <w:r w:rsidR="00045EEF" w:rsidRPr="00FB28DE">
        <w:t>atten</w:t>
      </w:r>
      <w:r w:rsidR="00AB5622" w:rsidRPr="00FB28DE">
        <w:t>d</w:t>
      </w:r>
      <w:r w:rsidR="00894E9E" w:rsidRPr="00FB28DE">
        <w:t xml:space="preserve"> </w:t>
      </w:r>
      <w:r w:rsidR="004C4726" w:rsidRPr="00FB28DE">
        <w:t xml:space="preserve">youth events, </w:t>
      </w:r>
      <w:r w:rsidR="00BB18D3" w:rsidRPr="00FB28DE">
        <w:t>summits and conferences</w:t>
      </w:r>
      <w:r w:rsidR="007F47B9" w:rsidRPr="00FB28DE">
        <w:t>,</w:t>
      </w:r>
      <w:r w:rsidR="00BB18D3" w:rsidRPr="00FB28DE">
        <w:t xml:space="preserve"> </w:t>
      </w:r>
      <w:r w:rsidRPr="00FB28DE">
        <w:t>and non-government policy forums to deeply listen and inform</w:t>
      </w:r>
      <w:r w:rsidR="00887A8D" w:rsidRPr="00FB28DE">
        <w:t xml:space="preserve"> the National Commission’s</w:t>
      </w:r>
      <w:r w:rsidRPr="00FB28DE">
        <w:t xml:space="preserve"> advice to </w:t>
      </w:r>
      <w:r w:rsidR="00EA2F1F" w:rsidRPr="00FB28DE">
        <w:t>G</w:t>
      </w:r>
      <w:r w:rsidRPr="00FB28DE">
        <w:t xml:space="preserve">overnment.   </w:t>
      </w:r>
    </w:p>
    <w:p w14:paraId="4634A277" w14:textId="2833A1AE" w:rsidR="005A42FC" w:rsidRPr="00FB28DE" w:rsidRDefault="00887A8D" w:rsidP="319E7182">
      <w:r w:rsidRPr="00FB28DE">
        <w:t>We</w:t>
      </w:r>
      <w:r w:rsidR="005A42FC" w:rsidRPr="00FB28DE">
        <w:t xml:space="preserve"> </w:t>
      </w:r>
      <w:r w:rsidR="00505022" w:rsidRPr="00FB28DE">
        <w:t xml:space="preserve">will continue to </w:t>
      </w:r>
      <w:r w:rsidR="00874BE6" w:rsidRPr="00FB28DE">
        <w:t xml:space="preserve">strengthen and </w:t>
      </w:r>
      <w:r w:rsidR="00D3154C" w:rsidRPr="00FB28DE">
        <w:t xml:space="preserve">expand </w:t>
      </w:r>
      <w:r w:rsidRPr="00FB28DE">
        <w:t>our</w:t>
      </w:r>
      <w:r w:rsidR="00552D56" w:rsidRPr="00FB28DE">
        <w:t xml:space="preserve"> </w:t>
      </w:r>
      <w:r w:rsidR="00874BE6" w:rsidRPr="00FB28DE">
        <w:t>working relationships</w:t>
      </w:r>
      <w:r w:rsidR="00D05B72" w:rsidRPr="00FB28DE">
        <w:t>,</w:t>
      </w:r>
      <w:r w:rsidR="00552D56" w:rsidRPr="00FB28DE">
        <w:t xml:space="preserve"> particularly with national peak organisations</w:t>
      </w:r>
      <w:r w:rsidR="00572107" w:rsidRPr="00FB28DE">
        <w:t xml:space="preserve"> </w:t>
      </w:r>
      <w:r w:rsidR="00D2316E" w:rsidRPr="00FB28DE">
        <w:t>and other state</w:t>
      </w:r>
      <w:r w:rsidR="00264D5B" w:rsidRPr="00FB28DE">
        <w:t>-</w:t>
      </w:r>
      <w:r w:rsidR="00D2316E" w:rsidRPr="00FB28DE">
        <w:t xml:space="preserve"> and territory</w:t>
      </w:r>
      <w:r w:rsidR="00264D5B" w:rsidRPr="00FB28DE">
        <w:t>-</w:t>
      </w:r>
      <w:r w:rsidR="00D2316E" w:rsidRPr="00FB28DE">
        <w:t>based organisations</w:t>
      </w:r>
      <w:r w:rsidR="00874BE6" w:rsidRPr="00FB28DE">
        <w:t>.</w:t>
      </w:r>
      <w:r w:rsidR="00552D56" w:rsidRPr="00FB28DE">
        <w:t xml:space="preserve"> </w:t>
      </w:r>
    </w:p>
    <w:p w14:paraId="55EE252C" w14:textId="093250D3" w:rsidR="00C621B5" w:rsidRPr="00FB28DE" w:rsidRDefault="006C140B" w:rsidP="006C140B">
      <w:pPr>
        <w:pStyle w:val="Heading4"/>
      </w:pPr>
      <w:r w:rsidRPr="00FB28DE">
        <w:t xml:space="preserve">Australian and New Zealand Children’s Commissioners, Guardians and Advocates </w:t>
      </w:r>
    </w:p>
    <w:p w14:paraId="6B81AE53" w14:textId="46A8FB6A" w:rsidR="00F123D1" w:rsidRPr="00FB28DE" w:rsidRDefault="006C140B" w:rsidP="00F123D1">
      <w:r w:rsidRPr="00FB28DE">
        <w:t xml:space="preserve">The </w:t>
      </w:r>
      <w:r w:rsidR="003F3939" w:rsidRPr="00FB28DE">
        <w:t xml:space="preserve">National </w:t>
      </w:r>
      <w:r w:rsidRPr="00FB28DE">
        <w:t>Commission</w:t>
      </w:r>
      <w:r w:rsidR="0080253B" w:rsidRPr="00FB28DE">
        <w:t xml:space="preserve"> </w:t>
      </w:r>
      <w:r w:rsidR="002B48A7" w:rsidRPr="00FB28DE">
        <w:t>is</w:t>
      </w:r>
      <w:r w:rsidR="0080253B" w:rsidRPr="00FB28DE">
        <w:t xml:space="preserve"> a member of the Australian and New Zealand Children’s Commissioners, Guardians and Advocates </w:t>
      </w:r>
      <w:r w:rsidR="00707D6A" w:rsidRPr="00FB28DE">
        <w:t xml:space="preserve">(ANZCCGA) </w:t>
      </w:r>
      <w:r w:rsidR="0080253B" w:rsidRPr="00FB28DE">
        <w:t>group</w:t>
      </w:r>
      <w:r w:rsidR="00D067C4" w:rsidRPr="00FB28DE">
        <w:t xml:space="preserve">, which </w:t>
      </w:r>
      <w:r w:rsidR="002715F5" w:rsidRPr="00FB28DE">
        <w:t xml:space="preserve">comprises </w:t>
      </w:r>
      <w:r w:rsidR="00707D6A" w:rsidRPr="00FB28DE">
        <w:t>national, state and territory children and young people commissioners, guardians and advocates.</w:t>
      </w:r>
    </w:p>
    <w:p w14:paraId="3A5B8E6C" w14:textId="7AE2493E" w:rsidR="006C140B" w:rsidRPr="00FB28DE" w:rsidRDefault="00E86C92" w:rsidP="006C140B">
      <w:r w:rsidRPr="00FB28DE">
        <w:t xml:space="preserve">ANZCCGA </w:t>
      </w:r>
      <w:r w:rsidR="00411FFA" w:rsidRPr="00FB28DE">
        <w:t xml:space="preserve">promotes and protects the rights, </w:t>
      </w:r>
      <w:r w:rsidR="00AB2922" w:rsidRPr="00FB28DE">
        <w:t>interests,</w:t>
      </w:r>
      <w:r w:rsidR="00411FFA" w:rsidRPr="00FB28DE">
        <w:t xml:space="preserve"> and wellbeing of children and young people </w:t>
      </w:r>
      <w:r w:rsidR="00147BBA" w:rsidRPr="00FB28DE">
        <w:t>in Australia and New Zeal</w:t>
      </w:r>
      <w:r w:rsidR="00FA4520" w:rsidRPr="00FB28DE">
        <w:t>and</w:t>
      </w:r>
      <w:r w:rsidR="00A95CC3" w:rsidRPr="00FB28DE">
        <w:t xml:space="preserve"> through </w:t>
      </w:r>
      <w:r w:rsidR="009B4D98" w:rsidRPr="00FB28DE">
        <w:t xml:space="preserve">collective </w:t>
      </w:r>
      <w:r w:rsidR="00745DAC" w:rsidRPr="00FB28DE">
        <w:t>advocacy</w:t>
      </w:r>
      <w:r w:rsidR="00EF24D8" w:rsidRPr="00FB28DE">
        <w:t xml:space="preserve"> and</w:t>
      </w:r>
      <w:r w:rsidR="00745DAC" w:rsidRPr="00FB28DE">
        <w:t xml:space="preserve"> information sharing</w:t>
      </w:r>
      <w:r w:rsidR="002F4503" w:rsidRPr="00FB28DE">
        <w:t xml:space="preserve">. </w:t>
      </w:r>
      <w:r w:rsidR="0098468F" w:rsidRPr="00FB28DE">
        <w:t>It</w:t>
      </w:r>
      <w:r w:rsidR="00FC613B" w:rsidRPr="00FB28DE">
        <w:t xml:space="preserve"> is committed to </w:t>
      </w:r>
      <w:r w:rsidR="00AC7C38" w:rsidRPr="00FB28DE">
        <w:t>ensuring</w:t>
      </w:r>
      <w:r w:rsidR="0098468F" w:rsidRPr="00FB28DE">
        <w:t xml:space="preserve"> that </w:t>
      </w:r>
      <w:r w:rsidR="00AC7C38" w:rsidRPr="00FB28DE">
        <w:t>Aboriginal and Torres Strait Islander children and young people</w:t>
      </w:r>
      <w:r w:rsidR="00CE1B7A" w:rsidRPr="00FB28DE">
        <w:t xml:space="preserve"> can participate in decisions that impact them, and that their voices</w:t>
      </w:r>
      <w:r w:rsidR="00AC7C38" w:rsidRPr="00FB28DE">
        <w:t xml:space="preserve"> </w:t>
      </w:r>
      <w:r w:rsidR="00A44B43" w:rsidRPr="00FB28DE">
        <w:t xml:space="preserve">are considered in the development of legislation, policy and programs. </w:t>
      </w:r>
      <w:r w:rsidR="007668D6" w:rsidRPr="00FB28DE">
        <w:t xml:space="preserve">ANZCCGA </w:t>
      </w:r>
      <w:r w:rsidR="00A919AE" w:rsidRPr="00FB28DE">
        <w:t xml:space="preserve">commissioners, guardians, and advocates bring observations and perspectives from </w:t>
      </w:r>
      <w:r w:rsidR="00837D49" w:rsidRPr="00FB28DE">
        <w:t xml:space="preserve">varied roles and functions to </w:t>
      </w:r>
      <w:r w:rsidR="00491C1D" w:rsidRPr="00FB28DE">
        <w:t>work together towards systemic improvement informed by evidence-based research</w:t>
      </w:r>
      <w:r w:rsidR="00AB2922" w:rsidRPr="00FB28DE">
        <w:t>.</w:t>
      </w:r>
    </w:p>
    <w:p w14:paraId="56B6891C" w14:textId="59D84D79" w:rsidR="0040195B" w:rsidRPr="00FB28DE" w:rsidRDefault="005E3F8A" w:rsidP="003F5C48">
      <w:pPr>
        <w:pStyle w:val="Heading4"/>
      </w:pPr>
      <w:r w:rsidRPr="00FB28DE">
        <w:lastRenderedPageBreak/>
        <w:t>Department of Social Services</w:t>
      </w:r>
    </w:p>
    <w:p w14:paraId="1C753118" w14:textId="6A8FA902" w:rsidR="00C22CD7" w:rsidRPr="00FB28DE" w:rsidRDefault="00450536" w:rsidP="00E92F37">
      <w:r w:rsidRPr="00FB28DE">
        <w:t xml:space="preserve">The </w:t>
      </w:r>
      <w:r w:rsidR="00341814" w:rsidRPr="00FB28DE">
        <w:t xml:space="preserve">National </w:t>
      </w:r>
      <w:r w:rsidRPr="00FB28DE">
        <w:t xml:space="preserve">Commission </w:t>
      </w:r>
      <w:r w:rsidR="001073D7" w:rsidRPr="00FB28DE">
        <w:t>has</w:t>
      </w:r>
      <w:r w:rsidRPr="00FB28DE">
        <w:t xml:space="preserve"> a Memorandum of Understanding (MoU) with the Department</w:t>
      </w:r>
      <w:r w:rsidR="00341814" w:rsidRPr="00FB28DE">
        <w:t xml:space="preserve"> of Social</w:t>
      </w:r>
      <w:r w:rsidR="007B0D08" w:rsidRPr="00FB28DE">
        <w:t xml:space="preserve"> Services</w:t>
      </w:r>
      <w:r w:rsidR="00054FA4" w:rsidRPr="00FB28DE">
        <w:t xml:space="preserve">. </w:t>
      </w:r>
      <w:r w:rsidR="00DD1C8D" w:rsidRPr="00FB28DE">
        <w:t>Under the MoU, the</w:t>
      </w:r>
      <w:r w:rsidR="00FE15F6" w:rsidRPr="00FB28DE">
        <w:t xml:space="preserve"> Department </w:t>
      </w:r>
      <w:r w:rsidR="00E92F37" w:rsidRPr="00FB28DE">
        <w:t xml:space="preserve">of Social Services </w:t>
      </w:r>
      <w:r w:rsidR="007B0D08" w:rsidRPr="00FB28DE">
        <w:t>deliver</w:t>
      </w:r>
      <w:r w:rsidR="00DD1C8D" w:rsidRPr="00FB28DE">
        <w:t>s</w:t>
      </w:r>
      <w:r w:rsidR="007B0D08" w:rsidRPr="00FB28DE">
        <w:t xml:space="preserve"> corporate services and systems to the National Commission</w:t>
      </w:r>
      <w:r w:rsidR="00DC6107" w:rsidRPr="00FB28DE">
        <w:t>,</w:t>
      </w:r>
      <w:r w:rsidR="00CD4922" w:rsidRPr="00FB28DE">
        <w:t xml:space="preserve"> including </w:t>
      </w:r>
      <w:r w:rsidR="007B0D08" w:rsidRPr="00FB28DE">
        <w:t>office accommodation, human resources, financial, IT, security</w:t>
      </w:r>
      <w:r w:rsidR="00DC6107" w:rsidRPr="00FB28DE">
        <w:t>,</w:t>
      </w:r>
      <w:r w:rsidR="007B0D08" w:rsidRPr="00FB28DE">
        <w:t xml:space="preserve"> and information management. The MoU </w:t>
      </w:r>
      <w:r w:rsidR="003655C2" w:rsidRPr="00FB28DE">
        <w:t xml:space="preserve">will be reviewed </w:t>
      </w:r>
      <w:r w:rsidR="00FF61B7" w:rsidRPr="00FB28DE">
        <w:t>six months after signing, and every two years after that</w:t>
      </w:r>
      <w:r w:rsidR="00971828" w:rsidRPr="00FB28DE">
        <w:t>,</w:t>
      </w:r>
      <w:r w:rsidR="00943050" w:rsidRPr="00FB28DE">
        <w:t xml:space="preserve"> </w:t>
      </w:r>
      <w:r w:rsidR="00927BB8" w:rsidRPr="00FB28DE">
        <w:t>and</w:t>
      </w:r>
      <w:r w:rsidR="008E6BE1" w:rsidRPr="00FB28DE">
        <w:t xml:space="preserve"> will</w:t>
      </w:r>
      <w:r w:rsidR="00943050" w:rsidRPr="00FB28DE">
        <w:t xml:space="preserve"> requir</w:t>
      </w:r>
      <w:r w:rsidR="008E6BE1" w:rsidRPr="00FB28DE">
        <w:t>e</w:t>
      </w:r>
      <w:r w:rsidR="000970B7" w:rsidRPr="00FB28DE">
        <w:t xml:space="preserve"> the National Commission to retain</w:t>
      </w:r>
      <w:r w:rsidR="00943050" w:rsidRPr="00FB28DE">
        <w:t xml:space="preserve"> a close working relationship with </w:t>
      </w:r>
      <w:r w:rsidR="00E101C2" w:rsidRPr="00FB28DE">
        <w:t xml:space="preserve">the </w:t>
      </w:r>
      <w:r w:rsidR="00943050" w:rsidRPr="00FB28DE">
        <w:t>Department</w:t>
      </w:r>
      <w:r w:rsidR="00E92F37" w:rsidRPr="00FB28DE">
        <w:t xml:space="preserve"> of Social Services</w:t>
      </w:r>
      <w:r w:rsidR="00943050" w:rsidRPr="00FB28DE">
        <w:t xml:space="preserve">. </w:t>
      </w:r>
      <w:r w:rsidR="00C22CD7" w:rsidRPr="00FB28DE">
        <w:br w:type="page"/>
      </w:r>
    </w:p>
    <w:p w14:paraId="20CCEEEF" w14:textId="77777777" w:rsidR="008F79A6" w:rsidRPr="00FB28DE" w:rsidRDefault="008F79A6" w:rsidP="00C12FC2">
      <w:pPr>
        <w:pStyle w:val="Heading2"/>
      </w:pPr>
      <w:bookmarkStart w:id="28" w:name="_Toc199835381"/>
      <w:r w:rsidRPr="00FB28DE">
        <w:lastRenderedPageBreak/>
        <w:t>Performance</w:t>
      </w:r>
      <w:bookmarkEnd w:id="28"/>
    </w:p>
    <w:p w14:paraId="70F70E14" w14:textId="4F50D617" w:rsidR="008F79A6" w:rsidRPr="00FB28DE" w:rsidRDefault="008F79A6" w:rsidP="003216CB">
      <w:pPr>
        <w:pStyle w:val="Heading3"/>
      </w:pPr>
      <w:bookmarkStart w:id="29" w:name="_Toc199835382"/>
      <w:r w:rsidRPr="00FB28DE">
        <w:t xml:space="preserve">Performance Measures and </w:t>
      </w:r>
      <w:r w:rsidR="00E44A59" w:rsidRPr="00FB28DE">
        <w:t>Indicators of Success</w:t>
      </w:r>
      <w:bookmarkEnd w:id="29"/>
    </w:p>
    <w:p w14:paraId="447D3C78" w14:textId="054B0794" w:rsidR="005B3DDE" w:rsidRPr="00FB28DE" w:rsidRDefault="008F79A6" w:rsidP="006D7F30">
      <w:pPr>
        <w:rPr>
          <w:color w:val="C00000"/>
        </w:rPr>
      </w:pPr>
      <w:r w:rsidRPr="00FB28DE">
        <w:t>We are currently focused on outputs that reflect the establishment and planning phase of the National Commission’s operations</w:t>
      </w:r>
      <w:r w:rsidR="00B102B4" w:rsidRPr="00FB28DE">
        <w:t>,</w:t>
      </w:r>
      <w:r w:rsidR="00DB0CF8" w:rsidRPr="00FB28DE">
        <w:t xml:space="preserve"> </w:t>
      </w:r>
      <w:r w:rsidR="000E028F" w:rsidRPr="00FB28DE">
        <w:t>such as gathering information, initial engagement and collaboration activities, establishing relationships, and identifying opportunities to fulfil our core functions.</w:t>
      </w:r>
    </w:p>
    <w:p w14:paraId="50E40B80" w14:textId="2731AB1A" w:rsidR="008F79A6" w:rsidRPr="00FB28DE" w:rsidRDefault="008F79A6" w:rsidP="00C64C45">
      <w:r w:rsidRPr="00FB28DE">
        <w:t xml:space="preserve">Achieving these actions </w:t>
      </w:r>
      <w:r w:rsidR="00742358" w:rsidRPr="00FB28DE">
        <w:t xml:space="preserve">from 13 January 2025 to 30 June 2025 </w:t>
      </w:r>
      <w:r w:rsidRPr="00FB28DE">
        <w:t>will form the foundation for further work by establishing governance policies and frameworks to support engagement, developing positions on key issues to inform advice, and building stakeholder relationships to facilitate coordination.</w:t>
      </w:r>
    </w:p>
    <w:p w14:paraId="579A1F9D" w14:textId="77777777" w:rsidR="008F79A6" w:rsidRPr="00FB28DE" w:rsidRDefault="008F79A6" w:rsidP="00C64C45">
      <w:r w:rsidRPr="00FB28DE">
        <w:t>The National Commission’s success indicators for 2025–26 and beyond are currently under consideration.</w:t>
      </w:r>
    </w:p>
    <w:tbl>
      <w:tblPr>
        <w:tblStyle w:val="PlainTable4"/>
        <w:tblW w:w="9923" w:type="dxa"/>
        <w:tblLook w:val="04A0" w:firstRow="1" w:lastRow="0" w:firstColumn="1" w:lastColumn="0" w:noHBand="0" w:noVBand="1"/>
      </w:tblPr>
      <w:tblGrid>
        <w:gridCol w:w="2410"/>
        <w:gridCol w:w="2693"/>
        <w:gridCol w:w="4820"/>
      </w:tblGrid>
      <w:tr w:rsidR="008F79A6" w:rsidRPr="00FB28DE" w14:paraId="3FF8E148" w14:textId="77777777" w:rsidTr="003F2E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4EBBBC60" w14:textId="77777777" w:rsidR="008F79A6" w:rsidRPr="00FB28DE" w:rsidRDefault="008F79A6" w:rsidP="001A4F06">
            <w:r w:rsidRPr="00FB28DE">
              <w:t>Activity</w:t>
            </w:r>
          </w:p>
        </w:tc>
        <w:tc>
          <w:tcPr>
            <w:tcW w:w="2693" w:type="dxa"/>
          </w:tcPr>
          <w:p w14:paraId="13368FC3" w14:textId="77777777" w:rsidR="008F79A6" w:rsidRPr="00FB28DE" w:rsidRDefault="008F79A6" w:rsidP="001A4F06">
            <w:pPr>
              <w:cnfStyle w:val="100000000000" w:firstRow="1" w:lastRow="0" w:firstColumn="0" w:lastColumn="0" w:oddVBand="0" w:evenVBand="0" w:oddHBand="0" w:evenHBand="0" w:firstRowFirstColumn="0" w:firstRowLastColumn="0" w:lastRowFirstColumn="0" w:lastRowLastColumn="0"/>
            </w:pPr>
            <w:r w:rsidRPr="00FB28DE">
              <w:t>Performance Measure</w:t>
            </w:r>
          </w:p>
        </w:tc>
        <w:tc>
          <w:tcPr>
            <w:tcW w:w="4820" w:type="dxa"/>
          </w:tcPr>
          <w:p w14:paraId="2F35D9FF" w14:textId="77777777" w:rsidR="008F79A6" w:rsidRPr="00FB28DE" w:rsidRDefault="008F79A6" w:rsidP="001A4F06">
            <w:pPr>
              <w:cnfStyle w:val="100000000000" w:firstRow="1" w:lastRow="0" w:firstColumn="0" w:lastColumn="0" w:oddVBand="0" w:evenVBand="0" w:oddHBand="0" w:evenHBand="0" w:firstRowFirstColumn="0" w:firstRowLastColumn="0" w:lastRowFirstColumn="0" w:lastRowLastColumn="0"/>
            </w:pPr>
            <w:r w:rsidRPr="00FB28DE">
              <w:t>2024–25 Indicators of Success</w:t>
            </w:r>
          </w:p>
        </w:tc>
      </w:tr>
      <w:tr w:rsidR="008F79A6" w:rsidRPr="00FB28DE" w14:paraId="0A2179BD" w14:textId="77777777" w:rsidTr="4A44E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9E7523C" w14:textId="77777777" w:rsidR="008F79A6" w:rsidRPr="00FB28DE" w:rsidRDefault="008F79A6" w:rsidP="001A4F06">
            <w:pPr>
              <w:spacing w:after="0"/>
              <w:rPr>
                <w:b w:val="0"/>
                <w:bCs w:val="0"/>
              </w:rPr>
            </w:pPr>
            <w:r w:rsidRPr="00FB28DE">
              <w:t xml:space="preserve">Key Activity 1 </w:t>
            </w:r>
          </w:p>
          <w:p w14:paraId="4A4AA1C9" w14:textId="3BDE2E77" w:rsidR="008F79A6" w:rsidRPr="00FB28DE" w:rsidRDefault="008F79A6" w:rsidP="001A4F06">
            <w:pPr>
              <w:spacing w:after="0"/>
              <w:rPr>
                <w:b w:val="0"/>
                <w:bCs w:val="0"/>
              </w:rPr>
            </w:pPr>
            <w:r w:rsidRPr="00FB28DE">
              <w:rPr>
                <w:b w:val="0"/>
                <w:bCs w:val="0"/>
              </w:rPr>
              <w:t>Amplify the voices, aspirations and strengths of Aboriginal and Torres Strait Islander children and young people</w:t>
            </w:r>
          </w:p>
          <w:p w14:paraId="2C2D7BA1" w14:textId="77777777" w:rsidR="008F79A6" w:rsidRPr="00FB28DE" w:rsidRDefault="008F79A6" w:rsidP="001A4F06">
            <w:pPr>
              <w:spacing w:after="0"/>
            </w:pPr>
          </w:p>
        </w:tc>
        <w:tc>
          <w:tcPr>
            <w:tcW w:w="2693" w:type="dxa"/>
          </w:tcPr>
          <w:p w14:paraId="67ECA0A2" w14:textId="162632F4" w:rsidR="008F79A6" w:rsidRPr="00FB28DE" w:rsidRDefault="008F79A6" w:rsidP="001A4F06">
            <w:pPr>
              <w:spacing w:after="0"/>
              <w:cnfStyle w:val="000000100000" w:firstRow="0" w:lastRow="0" w:firstColumn="0" w:lastColumn="0" w:oddVBand="0" w:evenVBand="0" w:oddHBand="1" w:evenHBand="0" w:firstRowFirstColumn="0" w:firstRowLastColumn="0" w:lastRowFirstColumn="0" w:lastRowLastColumn="0"/>
            </w:pPr>
            <w:r w:rsidRPr="00FB28DE">
              <w:t xml:space="preserve">Engagement and collaboration activities progress the establishment of a youth engagement model </w:t>
            </w:r>
            <w:r w:rsidR="003001F5" w:rsidRPr="00FB28DE">
              <w:t>to accommodate</w:t>
            </w:r>
            <w:r w:rsidRPr="00FB28DE">
              <w:t xml:space="preserve"> a diversity of voices</w:t>
            </w:r>
          </w:p>
        </w:tc>
        <w:tc>
          <w:tcPr>
            <w:tcW w:w="4820" w:type="dxa"/>
          </w:tcPr>
          <w:p w14:paraId="0FBFDF0B" w14:textId="0ECD344F" w:rsidR="003F1990" w:rsidRPr="00FB28DE" w:rsidRDefault="008F79A6" w:rsidP="00956E60">
            <w:pPr>
              <w:pStyle w:val="ListParagraph"/>
              <w:numPr>
                <w:ilvl w:val="0"/>
                <w:numId w:val="33"/>
              </w:numPr>
              <w:spacing w:after="0"/>
              <w:cnfStyle w:val="000000100000" w:firstRow="0" w:lastRow="0" w:firstColumn="0" w:lastColumn="0" w:oddVBand="0" w:evenVBand="0" w:oddHBand="1" w:evenHBand="0" w:firstRowFirstColumn="0" w:firstRowLastColumn="0" w:lastRowFirstColumn="0" w:lastRowLastColumn="0"/>
            </w:pPr>
            <w:r w:rsidRPr="00FB28DE">
              <w:t>Agreements</w:t>
            </w:r>
            <w:r w:rsidR="003F1990" w:rsidRPr="00FB28DE">
              <w:t xml:space="preserve"> are</w:t>
            </w:r>
            <w:r w:rsidRPr="00FB28DE">
              <w:t xml:space="preserve"> in place for engaging with existing youth advisory groups</w:t>
            </w:r>
            <w:r w:rsidR="003F1990" w:rsidRPr="00FB28DE">
              <w:t xml:space="preserve"> both</w:t>
            </w:r>
            <w:r w:rsidR="002F7552" w:rsidRPr="00FB28DE">
              <w:t xml:space="preserve"> nationally and</w:t>
            </w:r>
            <w:r w:rsidRPr="00FB28DE">
              <w:t xml:space="preserve"> across jurisdictions</w:t>
            </w:r>
          </w:p>
          <w:p w14:paraId="43BDD2CB" w14:textId="3DF8A158" w:rsidR="008F79A6" w:rsidRPr="00FB28DE" w:rsidRDefault="008F79A6" w:rsidP="00956E60">
            <w:pPr>
              <w:pStyle w:val="ListParagraph"/>
              <w:numPr>
                <w:ilvl w:val="0"/>
                <w:numId w:val="33"/>
              </w:numPr>
              <w:spacing w:after="0"/>
              <w:cnfStyle w:val="000000100000" w:firstRow="0" w:lastRow="0" w:firstColumn="0" w:lastColumn="0" w:oddVBand="0" w:evenVBand="0" w:oddHBand="1" w:evenHBand="0" w:firstRowFirstColumn="0" w:firstRowLastColumn="0" w:lastRowFirstColumn="0" w:lastRowLastColumn="0"/>
            </w:pPr>
            <w:r w:rsidRPr="00FB28DE">
              <w:t xml:space="preserve">Child safe framework policies </w:t>
            </w:r>
            <w:r w:rsidR="003F1990" w:rsidRPr="00FB28DE">
              <w:t xml:space="preserve">are </w:t>
            </w:r>
            <w:r w:rsidRPr="00FB28DE">
              <w:t>established</w:t>
            </w:r>
          </w:p>
          <w:p w14:paraId="644CA157" w14:textId="069ADD27" w:rsidR="008F79A6" w:rsidRPr="00FB28DE" w:rsidRDefault="00121FDD" w:rsidP="008F79A6">
            <w:pPr>
              <w:numPr>
                <w:ilvl w:val="0"/>
                <w:numId w:val="33"/>
              </w:numPr>
              <w:spacing w:after="0"/>
              <w:cnfStyle w:val="000000100000" w:firstRow="0" w:lastRow="0" w:firstColumn="0" w:lastColumn="0" w:oddVBand="0" w:evenVBand="0" w:oddHBand="1" w:evenHBand="0" w:firstRowFirstColumn="0" w:firstRowLastColumn="0" w:lastRowFirstColumn="0" w:lastRowLastColumn="0"/>
            </w:pPr>
            <w:r w:rsidRPr="00FB28DE">
              <w:t>Enquiries</w:t>
            </w:r>
            <w:r w:rsidR="008F79A6" w:rsidRPr="00FB28DE">
              <w:t xml:space="preserve"> mechanism </w:t>
            </w:r>
            <w:r w:rsidR="008D0F08" w:rsidRPr="00FB28DE">
              <w:t xml:space="preserve">is </w:t>
            </w:r>
            <w:r w:rsidR="008F79A6" w:rsidRPr="00FB28DE">
              <w:t>established</w:t>
            </w:r>
          </w:p>
          <w:p w14:paraId="6AD68083" w14:textId="77777777" w:rsidR="008F79A6" w:rsidRPr="00FB28DE" w:rsidRDefault="008F79A6" w:rsidP="001A4F06">
            <w:pPr>
              <w:spacing w:after="0"/>
              <w:cnfStyle w:val="000000100000" w:firstRow="0" w:lastRow="0" w:firstColumn="0" w:lastColumn="0" w:oddVBand="0" w:evenVBand="0" w:oddHBand="1" w:evenHBand="0" w:firstRowFirstColumn="0" w:firstRowLastColumn="0" w:lastRowFirstColumn="0" w:lastRowLastColumn="0"/>
            </w:pPr>
          </w:p>
          <w:p w14:paraId="420D0FBC" w14:textId="77777777" w:rsidR="008F79A6" w:rsidRPr="00FB28DE" w:rsidRDefault="008F79A6" w:rsidP="009D626B">
            <w:pPr>
              <w:spacing w:after="0"/>
              <w:cnfStyle w:val="000000100000" w:firstRow="0" w:lastRow="0" w:firstColumn="0" w:lastColumn="0" w:oddVBand="0" w:evenVBand="0" w:oddHBand="1" w:evenHBand="0" w:firstRowFirstColumn="0" w:firstRowLastColumn="0" w:lastRowFirstColumn="0" w:lastRowLastColumn="0"/>
            </w:pPr>
          </w:p>
        </w:tc>
      </w:tr>
      <w:tr w:rsidR="008F79A6" w:rsidRPr="00FB28DE" w14:paraId="796AB9D3" w14:textId="77777777" w:rsidTr="4A44EC8A">
        <w:tc>
          <w:tcPr>
            <w:cnfStyle w:val="001000000000" w:firstRow="0" w:lastRow="0" w:firstColumn="1" w:lastColumn="0" w:oddVBand="0" w:evenVBand="0" w:oddHBand="0" w:evenHBand="0" w:firstRowFirstColumn="0" w:firstRowLastColumn="0" w:lastRowFirstColumn="0" w:lastRowLastColumn="0"/>
            <w:tcW w:w="2410" w:type="dxa"/>
          </w:tcPr>
          <w:p w14:paraId="4148045A" w14:textId="0AF292B2" w:rsidR="008F79A6" w:rsidRPr="00FB28DE" w:rsidRDefault="008F79A6" w:rsidP="001A4F06">
            <w:pPr>
              <w:spacing w:after="0"/>
            </w:pPr>
            <w:r w:rsidRPr="00FB28DE">
              <w:t>Key Activity 2</w:t>
            </w:r>
            <w:r w:rsidRPr="00FB28DE">
              <w:rPr>
                <w:b w:val="0"/>
                <w:bCs w:val="0"/>
              </w:rPr>
              <w:br/>
              <w:t xml:space="preserve">Provide advice to </w:t>
            </w:r>
            <w:r w:rsidR="00EA2F1F" w:rsidRPr="00FB28DE">
              <w:t>G</w:t>
            </w:r>
            <w:r w:rsidRPr="00FB28DE">
              <w:t>overnment</w:t>
            </w:r>
            <w:r w:rsidRPr="00FB28DE">
              <w:rPr>
                <w:b w:val="0"/>
                <w:bCs w:val="0"/>
              </w:rPr>
              <w:br/>
            </w:r>
          </w:p>
        </w:tc>
        <w:tc>
          <w:tcPr>
            <w:tcW w:w="2693" w:type="dxa"/>
          </w:tcPr>
          <w:p w14:paraId="4F4AFCA9" w14:textId="16F25FCD" w:rsidR="008F79A6" w:rsidRPr="00FB28DE" w:rsidRDefault="00B76084" w:rsidP="008410B2">
            <w:pPr>
              <w:spacing w:after="0"/>
              <w:cnfStyle w:val="000000000000" w:firstRow="0" w:lastRow="0" w:firstColumn="0" w:lastColumn="0" w:oddVBand="0" w:evenVBand="0" w:oddHBand="0" w:evenHBand="0" w:firstRowFirstColumn="0" w:firstRowLastColumn="0" w:lastRowFirstColumn="0" w:lastRowLastColumn="0"/>
            </w:pPr>
            <w:r w:rsidRPr="00FB28DE">
              <w:t>Extent to which the National Commission engages</w:t>
            </w:r>
            <w:r w:rsidR="00A5527F" w:rsidRPr="00FB28DE">
              <w:t xml:space="preserve"> with </w:t>
            </w:r>
            <w:r w:rsidR="00EA2F1F" w:rsidRPr="00FB28DE">
              <w:t>G</w:t>
            </w:r>
            <w:r w:rsidR="00A5527F" w:rsidRPr="00FB28DE">
              <w:t>overnment</w:t>
            </w:r>
            <w:r w:rsidR="00A3467A" w:rsidRPr="00FB28DE">
              <w:t xml:space="preserve"> </w:t>
            </w:r>
          </w:p>
        </w:tc>
        <w:tc>
          <w:tcPr>
            <w:tcW w:w="4820" w:type="dxa"/>
          </w:tcPr>
          <w:p w14:paraId="73FA2927" w14:textId="1AC69513" w:rsidR="007948B7" w:rsidRPr="00FB28DE" w:rsidRDefault="00240D53" w:rsidP="008F79A6">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pPr>
            <w:r w:rsidRPr="00FB28DE">
              <w:t>D</w:t>
            </w:r>
            <w:r w:rsidR="009A1D37" w:rsidRPr="00FB28DE">
              <w:t>atabase of engagements</w:t>
            </w:r>
            <w:r w:rsidR="00755F65" w:rsidRPr="00FB28DE">
              <w:t xml:space="preserve"> and policy themes</w:t>
            </w:r>
            <w:r w:rsidR="009A1D37" w:rsidRPr="00FB28DE">
              <w:t xml:space="preserve"> </w:t>
            </w:r>
            <w:r w:rsidRPr="00FB28DE">
              <w:t>is established</w:t>
            </w:r>
          </w:p>
          <w:p w14:paraId="6BE4ECD9" w14:textId="77777777" w:rsidR="008F79A6" w:rsidRPr="00FB28DE" w:rsidRDefault="008F79A6" w:rsidP="001A4F06">
            <w:pPr>
              <w:spacing w:after="0"/>
              <w:cnfStyle w:val="000000000000" w:firstRow="0" w:lastRow="0" w:firstColumn="0" w:lastColumn="0" w:oddVBand="0" w:evenVBand="0" w:oddHBand="0" w:evenHBand="0" w:firstRowFirstColumn="0" w:firstRowLastColumn="0" w:lastRowFirstColumn="0" w:lastRowLastColumn="0"/>
            </w:pPr>
          </w:p>
          <w:p w14:paraId="07E1B85F" w14:textId="77777777" w:rsidR="008F79A6" w:rsidRPr="00FB28DE" w:rsidRDefault="008F79A6" w:rsidP="008258B0">
            <w:pPr>
              <w:spacing w:after="0"/>
              <w:ind w:left="720"/>
              <w:cnfStyle w:val="000000000000" w:firstRow="0" w:lastRow="0" w:firstColumn="0" w:lastColumn="0" w:oddVBand="0" w:evenVBand="0" w:oddHBand="0" w:evenHBand="0" w:firstRowFirstColumn="0" w:firstRowLastColumn="0" w:lastRowFirstColumn="0" w:lastRowLastColumn="0"/>
            </w:pPr>
          </w:p>
        </w:tc>
      </w:tr>
      <w:tr w:rsidR="008F79A6" w:rsidRPr="005969BB" w14:paraId="44C51113" w14:textId="77777777" w:rsidTr="4A44E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D182E42" w14:textId="634FD57D" w:rsidR="008F79A6" w:rsidRPr="00FB28DE" w:rsidRDefault="008F79A6" w:rsidP="001A4F06">
            <w:pPr>
              <w:spacing w:after="0"/>
              <w:rPr>
                <w:b w:val="0"/>
                <w:bCs w:val="0"/>
              </w:rPr>
            </w:pPr>
            <w:r w:rsidRPr="00FB28DE">
              <w:t xml:space="preserve">Key Activity 3 </w:t>
            </w:r>
            <w:r w:rsidRPr="00FB28DE">
              <w:rPr>
                <w:b w:val="0"/>
                <w:bCs w:val="0"/>
              </w:rPr>
              <w:br/>
              <w:t>Enhance national coordination on matters related to Aboriginal and Torres Strait Islander children and young people</w:t>
            </w:r>
          </w:p>
        </w:tc>
        <w:tc>
          <w:tcPr>
            <w:tcW w:w="2693" w:type="dxa"/>
          </w:tcPr>
          <w:p w14:paraId="63B37516" w14:textId="38ECDBE7" w:rsidR="008F79A6" w:rsidRPr="00FB28DE" w:rsidRDefault="002578CA" w:rsidP="001A4F06">
            <w:pPr>
              <w:spacing w:after="0"/>
              <w:cnfStyle w:val="000000100000" w:firstRow="0" w:lastRow="0" w:firstColumn="0" w:lastColumn="0" w:oddVBand="0" w:evenVBand="0" w:oddHBand="1" w:evenHBand="0" w:firstRowFirstColumn="0" w:firstRowLastColumn="0" w:lastRowFirstColumn="0" w:lastRowLastColumn="0"/>
            </w:pPr>
            <w:r w:rsidRPr="00FB28DE">
              <w:t xml:space="preserve">Extent to which the National Commission has engaged and collaborated </w:t>
            </w:r>
            <w:r w:rsidR="00042746" w:rsidRPr="00FB28DE">
              <w:t>on a</w:t>
            </w:r>
            <w:r w:rsidR="008F79A6" w:rsidRPr="00FB28DE">
              <w:t>ctivities that support sharing of policy, knowledge</w:t>
            </w:r>
            <w:r w:rsidR="00450CBF" w:rsidRPr="00FB28DE">
              <w:t>,</w:t>
            </w:r>
            <w:r w:rsidR="008F79A6" w:rsidRPr="00FB28DE">
              <w:t xml:space="preserve"> and practice across jurisdictions</w:t>
            </w:r>
          </w:p>
        </w:tc>
        <w:tc>
          <w:tcPr>
            <w:tcW w:w="4820" w:type="dxa"/>
          </w:tcPr>
          <w:p w14:paraId="750EE2CB" w14:textId="602B385E" w:rsidR="00AC143F" w:rsidRPr="00FB28DE" w:rsidRDefault="008F79A6" w:rsidP="008F79A6">
            <w:pPr>
              <w:pStyle w:val="ListParagraph"/>
              <w:numPr>
                <w:ilvl w:val="0"/>
                <w:numId w:val="37"/>
              </w:numPr>
              <w:spacing w:after="0"/>
              <w:cnfStyle w:val="000000100000" w:firstRow="0" w:lastRow="0" w:firstColumn="0" w:lastColumn="0" w:oddVBand="0" w:evenVBand="0" w:oddHBand="1" w:evenHBand="0" w:firstRowFirstColumn="0" w:firstRowLastColumn="0" w:lastRowFirstColumn="0" w:lastRowLastColumn="0"/>
            </w:pPr>
            <w:r w:rsidRPr="00FB28DE">
              <w:t>The National Commissioner has met with national and state and territory commissioners, guardians</w:t>
            </w:r>
            <w:r w:rsidR="000B4B8B" w:rsidRPr="00FB28DE">
              <w:t>,</w:t>
            </w:r>
            <w:r w:rsidRPr="00FB28DE">
              <w:t xml:space="preserve"> and advocates </w:t>
            </w:r>
          </w:p>
          <w:p w14:paraId="0F4AD474" w14:textId="28A1D8BD" w:rsidR="008F79A6" w:rsidRPr="00FB28DE" w:rsidRDefault="00DC359F" w:rsidP="003B7F7F">
            <w:pPr>
              <w:pStyle w:val="ListParagraph"/>
              <w:numPr>
                <w:ilvl w:val="0"/>
                <w:numId w:val="37"/>
              </w:numPr>
              <w:spacing w:after="0"/>
              <w:cnfStyle w:val="000000100000" w:firstRow="0" w:lastRow="0" w:firstColumn="0" w:lastColumn="0" w:oddVBand="0" w:evenVBand="0" w:oddHBand="1" w:evenHBand="0" w:firstRowFirstColumn="0" w:firstRowLastColumn="0" w:lastRowFirstColumn="0" w:lastRowLastColumn="0"/>
            </w:pPr>
            <w:r w:rsidRPr="00FB28DE">
              <w:t>The National Commission has published j</w:t>
            </w:r>
            <w:r w:rsidR="008F79A6" w:rsidRPr="00FB28DE">
              <w:t xml:space="preserve">oint statements </w:t>
            </w:r>
            <w:r w:rsidR="003B7F7F" w:rsidRPr="00FB28DE">
              <w:t>across jurisdictions</w:t>
            </w:r>
          </w:p>
        </w:tc>
      </w:tr>
    </w:tbl>
    <w:p w14:paraId="572CE2D0" w14:textId="77777777" w:rsidR="008F79A6" w:rsidRDefault="008F79A6"/>
    <w:p w14:paraId="7E76FDF3" w14:textId="4DE70529" w:rsidR="003E709A" w:rsidRDefault="003E709A">
      <w:pPr>
        <w:spacing w:after="240"/>
      </w:pPr>
      <w:r>
        <w:br w:type="page"/>
      </w:r>
    </w:p>
    <w:p w14:paraId="32BDCA6A" w14:textId="77777777" w:rsidR="003E709A" w:rsidRDefault="003E709A" w:rsidP="003E709A"/>
    <w:sectPr w:rsidR="003E709A" w:rsidSect="00B2224A">
      <w:headerReference w:type="even" r:id="rId19"/>
      <w:headerReference w:type="default" r:id="rId20"/>
      <w:headerReference w:type="first" r:id="rId21"/>
      <w:endnotePr>
        <w:numFmt w:val="decimal"/>
      </w:endnotePr>
      <w:type w:val="continuous"/>
      <w:pgSz w:w="11906" w:h="16838"/>
      <w:pgMar w:top="851" w:right="851" w:bottom="1134" w:left="851" w:header="0"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B81B" w14:textId="77777777" w:rsidR="00493825" w:rsidRDefault="00493825" w:rsidP="008F3023">
      <w:pPr>
        <w:spacing w:after="0" w:line="240" w:lineRule="auto"/>
      </w:pPr>
      <w:r>
        <w:separator/>
      </w:r>
    </w:p>
  </w:endnote>
  <w:endnote w:type="continuationSeparator" w:id="0">
    <w:p w14:paraId="454F338C" w14:textId="77777777" w:rsidR="00493825" w:rsidRDefault="00493825" w:rsidP="008F3023">
      <w:pPr>
        <w:spacing w:after="0" w:line="240" w:lineRule="auto"/>
      </w:pPr>
      <w:r>
        <w:continuationSeparator/>
      </w:r>
    </w:p>
  </w:endnote>
  <w:endnote w:type="continuationNotice" w:id="1">
    <w:p w14:paraId="6F0A1950" w14:textId="77777777" w:rsidR="00493825" w:rsidRDefault="00493825">
      <w:pPr>
        <w:spacing w:after="0" w:line="240" w:lineRule="auto"/>
      </w:pPr>
    </w:p>
  </w:endnote>
  <w:endnote w:id="2">
    <w:p w14:paraId="75625A2E" w14:textId="32552CC6" w:rsidR="00125857" w:rsidRDefault="00125857" w:rsidP="00BB3B57">
      <w:pPr>
        <w:pStyle w:val="EndnoteText"/>
      </w:pPr>
      <w:r>
        <w:rPr>
          <w:rStyle w:val="EndnoteReference"/>
        </w:rPr>
        <w:endnoteRef/>
      </w:r>
      <w:r w:rsidR="00850729">
        <w:t xml:space="preserve"> </w:t>
      </w:r>
      <w:r w:rsidR="00840863">
        <w:t xml:space="preserve">Australian Government (2025), </w:t>
      </w:r>
      <w:r w:rsidR="00840863" w:rsidRPr="00A03A55">
        <w:rPr>
          <w:i/>
          <w:iCs/>
        </w:rPr>
        <w:t>Order to Establish the National Commission for Aboriginal and Torres Strait Islander Children and Young People</w:t>
      </w:r>
      <w:r w:rsidR="00BD3783" w:rsidRPr="00A03A55">
        <w:rPr>
          <w:i/>
          <w:iCs/>
        </w:rPr>
        <w:t xml:space="preserve"> as an Executive Agency</w:t>
      </w:r>
      <w:r w:rsidR="004F3CC5">
        <w:t>. Available at:</w:t>
      </w:r>
      <w:r w:rsidR="00930645">
        <w:t xml:space="preserve"> </w:t>
      </w:r>
      <w:hyperlink r:id="rId1" w:history="1">
        <w:r w:rsidR="00930645" w:rsidRPr="00F50440">
          <w:rPr>
            <w:rStyle w:val="Hyperlink"/>
          </w:rPr>
          <w:t>https://www.legislation.gov.au/C2024G00584/asmade/text</w:t>
        </w:r>
      </w:hyperlink>
    </w:p>
  </w:endnote>
  <w:endnote w:id="3">
    <w:p w14:paraId="405D2DE5" w14:textId="01B47FF5" w:rsidR="00125857" w:rsidRPr="00881F77" w:rsidRDefault="00125857" w:rsidP="006B63C3">
      <w:pPr>
        <w:pStyle w:val="EndnoteText"/>
      </w:pPr>
      <w:r>
        <w:rPr>
          <w:rStyle w:val="EndnoteReference"/>
          <w:rFonts w:eastAsiaTheme="majorEastAsia"/>
        </w:rPr>
        <w:endnoteRef/>
      </w:r>
      <w:r>
        <w:t xml:space="preserve"> </w:t>
      </w:r>
      <w:r w:rsidR="00305244">
        <w:t xml:space="preserve">Australian Government </w:t>
      </w:r>
      <w:r w:rsidR="00B75F61">
        <w:t>Australian Institute of Health and Welfare (</w:t>
      </w:r>
      <w:r w:rsidR="00881F77">
        <w:t xml:space="preserve">2025), </w:t>
      </w:r>
      <w:r w:rsidRPr="00A96A1D">
        <w:rPr>
          <w:i/>
          <w:iCs/>
        </w:rPr>
        <w:t>Child Protection Australia 2022</w:t>
      </w:r>
      <w:r w:rsidR="00881F77">
        <w:rPr>
          <w:i/>
          <w:iCs/>
        </w:rPr>
        <w:t>–</w:t>
      </w:r>
      <w:r w:rsidRPr="00A96A1D">
        <w:rPr>
          <w:i/>
          <w:iCs/>
        </w:rPr>
        <w:t>23</w:t>
      </w:r>
      <w:r w:rsidR="00881F77">
        <w:rPr>
          <w:i/>
          <w:iCs/>
        </w:rPr>
        <w:t>.</w:t>
      </w:r>
      <w:r w:rsidR="00881F77">
        <w:t xml:space="preserve"> Available at: </w:t>
      </w:r>
      <w:hyperlink r:id="rId2" w:history="1">
        <w:r w:rsidR="00930645" w:rsidRPr="00F50440">
          <w:rPr>
            <w:rStyle w:val="Hyperlink"/>
          </w:rPr>
          <w:t>https://www.aihw.gov.au/reports/child-protection/child-protection-australia-2022-23/contents/about</w:t>
        </w:r>
      </w:hyperlink>
      <w:r w:rsidR="00930645">
        <w:t xml:space="preserve"> </w:t>
      </w:r>
    </w:p>
  </w:endnote>
  <w:endnote w:id="4">
    <w:p w14:paraId="51B6762B" w14:textId="2CEA18C9" w:rsidR="00125857" w:rsidRDefault="00125857" w:rsidP="006B63C3">
      <w:pPr>
        <w:pStyle w:val="EndnoteText"/>
      </w:pPr>
      <w:r>
        <w:rPr>
          <w:rStyle w:val="EndnoteReference"/>
          <w:rFonts w:eastAsiaTheme="majorEastAsia"/>
        </w:rPr>
        <w:endnoteRef/>
      </w:r>
      <w:r w:rsidR="00413723" w:rsidRPr="00413723">
        <w:t xml:space="preserve"> </w:t>
      </w:r>
      <w:r w:rsidR="00413723" w:rsidRPr="00F6240E">
        <w:t xml:space="preserve">Australian Government Australian Institute of Health and Welfare (2024), </w:t>
      </w:r>
      <w:r w:rsidR="00413723" w:rsidRPr="006D37B3">
        <w:rPr>
          <w:i/>
          <w:iCs/>
        </w:rPr>
        <w:t>Youth detention population in Australia 2024</w:t>
      </w:r>
      <w:r w:rsidR="00413723" w:rsidRPr="00F6240E">
        <w:t xml:space="preserve">. Available at: </w:t>
      </w:r>
      <w:hyperlink r:id="rId3" w:history="1">
        <w:r w:rsidR="00930645" w:rsidRPr="00F50440">
          <w:rPr>
            <w:rStyle w:val="Hyperlink"/>
          </w:rPr>
          <w:t>https://www.aihw.gov.au/reports/youth-justice/youth-detention-population-in-australia-2024/contents/first-nations-young-people/key-findings</w:t>
        </w:r>
      </w:hyperlink>
      <w:r w:rsidR="00930645">
        <w:t xml:space="preserve"> </w:t>
      </w:r>
    </w:p>
  </w:endnote>
  <w:endnote w:id="5">
    <w:p w14:paraId="0AEFB6A0" w14:textId="564119B0" w:rsidR="00211065" w:rsidRDefault="00125857" w:rsidP="00311426">
      <w:pPr>
        <w:pStyle w:val="EndnoteText"/>
      </w:pPr>
      <w:r>
        <w:rPr>
          <w:rStyle w:val="EndnoteReference"/>
        </w:rPr>
        <w:endnoteRef/>
      </w:r>
      <w:r>
        <w:t xml:space="preserve"> </w:t>
      </w:r>
      <w:r w:rsidR="00211065" w:rsidRPr="00211065">
        <w:t>Australian Government Productivity Commission (2025)</w:t>
      </w:r>
      <w:r w:rsidR="008C7BDE">
        <w:t>,</w:t>
      </w:r>
      <w:r w:rsidR="00211065" w:rsidRPr="00211065">
        <w:t xml:space="preserve"> </w:t>
      </w:r>
      <w:r w:rsidR="00211065" w:rsidRPr="00211065">
        <w:rPr>
          <w:i/>
          <w:iCs/>
        </w:rPr>
        <w:t>Proportion of children in out-of-home care (0–17 years old) that are Aboriginal and Torres Strait Islander</w:t>
      </w:r>
      <w:r w:rsidR="00211065" w:rsidRPr="00211065">
        <w:t xml:space="preserve">, </w:t>
      </w:r>
      <w:r w:rsidR="00211065" w:rsidRPr="00211065">
        <w:rPr>
          <w:i/>
          <w:iCs/>
        </w:rPr>
        <w:t>Closing the Gap Information Repository</w:t>
      </w:r>
      <w:r w:rsidR="00211065" w:rsidRPr="00211065">
        <w:t xml:space="preserve">. Available at: </w:t>
      </w:r>
      <w:hyperlink r:id="rId4" w:anchor=":~:text=Nationally%20in%202024%2C%2044.5%25%20of%20children%20aged%200%E2%80%93%E2%81%A017,of%204.5%20percentage%20points%20since%202019%20%28figure%20SE12b.1%29" w:history="1">
        <w:r w:rsidR="00930645" w:rsidRPr="00211065">
          <w:rPr>
            <w:rStyle w:val="Hyperlink"/>
          </w:rPr>
          <w:t>https://www.pc.gov.au/closing-the-gap-data/dashboard/se/outcome-area12/out-of-home-care#:~:text=Nationally%20in%202024%2C%2044.5%25%20of%20children%20aged%200%E2%80%93%E2%81%A017,of%204.5%20percentage%20points%20since%202019%20%28figure%20SE12b.1%29</w:t>
        </w:r>
      </w:hyperlink>
      <w:r w:rsidR="00930645">
        <w:t xml:space="preserve"> </w:t>
      </w:r>
    </w:p>
  </w:endnote>
  <w:endnote w:id="6">
    <w:p w14:paraId="6116F8C8" w14:textId="76B27B07" w:rsidR="00125857" w:rsidRDefault="00125857">
      <w:pPr>
        <w:pStyle w:val="EndnoteText"/>
      </w:pPr>
      <w:r>
        <w:rPr>
          <w:rStyle w:val="EndnoteReference"/>
        </w:rPr>
        <w:endnoteRef/>
      </w:r>
      <w:r>
        <w:t xml:space="preserve"> The Safe and Supported Aboriginal and Torres Strait Islander Leadership Group engages in shared decision-making with governments implementing Safe and Supported. </w:t>
      </w:r>
      <w:r w:rsidR="00CB7716">
        <w:t>More information available at:</w:t>
      </w:r>
      <w:r w:rsidR="00E2220B">
        <w:t xml:space="preserve"> </w:t>
      </w:r>
      <w:hyperlink r:id="rId5" w:history="1">
        <w:r w:rsidR="00850729" w:rsidRPr="00F50440">
          <w:rPr>
            <w:rStyle w:val="Hyperlink"/>
          </w:rPr>
          <w:t>https://www.dss.gov.au/aboriginal-and-torres-strait-islander-leadership-group</w:t>
        </w:r>
      </w:hyperlink>
      <w:r w:rsidR="00850729">
        <w:t xml:space="preserve"> </w:t>
      </w:r>
    </w:p>
  </w:endnote>
  <w:endnote w:id="7">
    <w:p w14:paraId="74D4C42F" w14:textId="7DF24FF6" w:rsidR="00125857" w:rsidRPr="001427AA" w:rsidRDefault="00125857" w:rsidP="000652F0">
      <w:pPr>
        <w:pStyle w:val="EndnoteText"/>
        <w:rPr>
          <w:i/>
          <w:iCs/>
        </w:rPr>
      </w:pPr>
      <w:r>
        <w:rPr>
          <w:rStyle w:val="EndnoteReference"/>
        </w:rPr>
        <w:endnoteRef/>
      </w:r>
      <w:r>
        <w:t xml:space="preserve"> </w:t>
      </w:r>
      <w:r w:rsidR="0050532A" w:rsidRPr="0050532A">
        <w:t>Commonwealth of Australia</w:t>
      </w:r>
      <w:r w:rsidR="00DB4E14">
        <w:t xml:space="preserve"> (2022)</w:t>
      </w:r>
      <w:r w:rsidR="0050532A" w:rsidRPr="0050532A">
        <w:t xml:space="preserve">, </w:t>
      </w:r>
      <w:r w:rsidR="0050532A" w:rsidRPr="00FA6862">
        <w:rPr>
          <w:i/>
          <w:iCs/>
        </w:rPr>
        <w:t>Aboriginal and Torres Strait Islander First Action Plan 2023-2026</w:t>
      </w:r>
      <w:r w:rsidR="00FA6862">
        <w:t xml:space="preserve">. </w:t>
      </w:r>
      <w:r w:rsidR="00FA6862" w:rsidRPr="00FA6862">
        <w:t xml:space="preserve">Available at: </w:t>
      </w:r>
      <w:hyperlink r:id="rId6" w:history="1">
        <w:r w:rsidR="00850729" w:rsidRPr="00F50440">
          <w:rPr>
            <w:rStyle w:val="Hyperlink"/>
          </w:rPr>
          <w:t>https://www.dss.gov.au/system/files/resources/final_aboriginal_and_torres_strait_islander_first_action_plan.pdf</w:t>
        </w:r>
      </w:hyperlink>
      <w:r w:rsidR="00850729">
        <w:t xml:space="preserve"> </w:t>
      </w:r>
    </w:p>
  </w:endnote>
  <w:endnote w:id="8">
    <w:p w14:paraId="44288A87" w14:textId="11D1D2C7" w:rsidR="00125857" w:rsidRDefault="00125857" w:rsidP="00323C9A">
      <w:pPr>
        <w:pStyle w:val="EndnoteText"/>
      </w:pPr>
      <w:r>
        <w:rPr>
          <w:rStyle w:val="EndnoteReference"/>
        </w:rPr>
        <w:endnoteRef/>
      </w:r>
      <w:r>
        <w:t xml:space="preserve"> </w:t>
      </w:r>
      <w:r w:rsidR="00B75448">
        <w:t>Early Childhood Care and Development Policy Partnership (2023)</w:t>
      </w:r>
      <w:r w:rsidR="00AF7FBD">
        <w:t>,</w:t>
      </w:r>
      <w:r w:rsidR="00B75448">
        <w:t xml:space="preserve"> </w:t>
      </w:r>
      <w:r w:rsidR="00B75448" w:rsidRPr="00AF7FBD">
        <w:rPr>
          <w:i/>
          <w:iCs/>
        </w:rPr>
        <w:t>Annual Report 2023</w:t>
      </w:r>
      <w:r w:rsidR="00B75448">
        <w:t>. Available at:</w:t>
      </w:r>
      <w:r w:rsidR="00AF7FBD" w:rsidRPr="00AF7FBD">
        <w:t xml:space="preserve"> </w:t>
      </w:r>
      <w:hyperlink r:id="rId7" w:history="1">
        <w:r w:rsidR="00850729" w:rsidRPr="00F50440">
          <w:rPr>
            <w:rStyle w:val="Hyperlink"/>
          </w:rPr>
          <w:t>https://www.snaicc.org.au/resources/early-childhood-care-and-development-policy-partnership-annual-report-2023/</w:t>
        </w:r>
      </w:hyperlink>
      <w:r w:rsidR="00850729">
        <w:t xml:space="preserve"> </w:t>
      </w:r>
    </w:p>
  </w:endnote>
  <w:endnote w:id="9">
    <w:p w14:paraId="1D44B777" w14:textId="1A5C1156" w:rsidR="00125857" w:rsidRDefault="00125857" w:rsidP="00311426">
      <w:pPr>
        <w:pStyle w:val="EndnoteText"/>
      </w:pPr>
      <w:r>
        <w:rPr>
          <w:rStyle w:val="EndnoteReference"/>
        </w:rPr>
        <w:endnoteRef/>
      </w:r>
      <w:r>
        <w:t xml:space="preserve"> </w:t>
      </w:r>
      <w:r w:rsidR="00F6240E" w:rsidRPr="00F6240E">
        <w:t xml:space="preserve">Australian Government Australian Institute of Health and Welfare (2024), </w:t>
      </w:r>
      <w:r w:rsidR="00F6240E" w:rsidRPr="006D37B3">
        <w:rPr>
          <w:i/>
          <w:iCs/>
        </w:rPr>
        <w:t>Youth detention population in Australia 2024</w:t>
      </w:r>
      <w:r w:rsidR="00F6240E" w:rsidRPr="00F6240E">
        <w:t xml:space="preserve">. Available at: </w:t>
      </w:r>
      <w:hyperlink r:id="rId8" w:history="1">
        <w:r w:rsidR="00850729" w:rsidRPr="00F50440">
          <w:rPr>
            <w:rStyle w:val="Hyperlink"/>
          </w:rPr>
          <w:t>https://www.aihw.gov.au/reports/youth-justice/youth-detention-population-in-australia-2024/contents/first-nations-young-people/key-findings</w:t>
        </w:r>
      </w:hyperlink>
      <w:r w:rsidR="00850729">
        <w:t xml:space="preserve"> </w:t>
      </w:r>
    </w:p>
  </w:endnote>
  <w:endnote w:id="10">
    <w:p w14:paraId="35A46274" w14:textId="16D581AC" w:rsidR="00125857" w:rsidRDefault="00125857" w:rsidP="00B378D2">
      <w:pPr>
        <w:pStyle w:val="EndnoteText"/>
      </w:pPr>
      <w:r>
        <w:rPr>
          <w:rStyle w:val="EndnoteReference"/>
        </w:rPr>
        <w:endnoteRef/>
      </w:r>
      <w:r>
        <w:t xml:space="preserve"> The Safe and Supported Aboriginal and Torres Strait Islander Leadership Group engages in shared decision-making with governments implementing Safe and Supported. </w:t>
      </w:r>
      <w:r w:rsidR="00D04B14">
        <w:t>More information available at:</w:t>
      </w:r>
      <w:r>
        <w:t xml:space="preserve"> </w:t>
      </w:r>
      <w:hyperlink r:id="rId9" w:history="1">
        <w:r w:rsidR="00850729" w:rsidRPr="00F50440">
          <w:rPr>
            <w:rStyle w:val="Hyperlink"/>
          </w:rPr>
          <w:t>https://www.dss.gov.au/aboriginal-and-torres-strait-islander-leadership-group</w:t>
        </w:r>
      </w:hyperlink>
      <w:r w:rsidR="00850729">
        <w:t xml:space="preserve"> </w:t>
      </w:r>
    </w:p>
  </w:endnote>
  <w:endnote w:id="11">
    <w:p w14:paraId="6DC2037E" w14:textId="0D843A42" w:rsidR="00125857" w:rsidRDefault="00125857" w:rsidP="00B378D2">
      <w:pPr>
        <w:pStyle w:val="EndnoteText"/>
      </w:pPr>
      <w:r>
        <w:rPr>
          <w:rStyle w:val="EndnoteReference"/>
        </w:rPr>
        <w:endnoteRef/>
      </w:r>
      <w:r>
        <w:t xml:space="preserve"> The Education Childhood Care and Development Policy Partnership enables Aboriginal and Torres Strait Islander peoples to work in partnership with government to drive community-led, early childhood care and development outcomes. </w:t>
      </w:r>
      <w:r w:rsidR="00D04B14">
        <w:t>More information available at:</w:t>
      </w:r>
      <w:r w:rsidR="00E2220B">
        <w:t xml:space="preserve"> </w:t>
      </w:r>
      <w:hyperlink r:id="rId10" w:history="1">
        <w:r w:rsidR="00850729" w:rsidRPr="00F50440">
          <w:rPr>
            <w:rStyle w:val="Hyperlink"/>
          </w:rPr>
          <w:t>https://www.education.gov.au/closing-the-gap/closing-gap-early-childhood/early-childhood-care-and-development-policy-partnership</w:t>
        </w:r>
      </w:hyperlink>
      <w:r w:rsidR="00850729">
        <w:t xml:space="preserve"> </w:t>
      </w:r>
    </w:p>
  </w:endnote>
  <w:endnote w:id="12">
    <w:p w14:paraId="3032EDB3" w14:textId="3B810CD6" w:rsidR="00507E13" w:rsidRDefault="00125857" w:rsidP="00B378D2">
      <w:pPr>
        <w:pStyle w:val="EndnoteText"/>
      </w:pPr>
      <w:r>
        <w:rPr>
          <w:rStyle w:val="EndnoteReference"/>
        </w:rPr>
        <w:endnoteRef/>
      </w:r>
      <w:r>
        <w:t xml:space="preserve"> Supporting Quality Engagement for Children is a consultation project run by the Australian Human Rights Commission, which aims to include the voices of children, young people and families in policies and services that directly affect them. </w:t>
      </w:r>
      <w:r w:rsidR="00CD4535">
        <w:t>More information available at:</w:t>
      </w:r>
      <w:r w:rsidR="00E2220B">
        <w:t xml:space="preserve"> </w:t>
      </w:r>
      <w:hyperlink r:id="rId11" w:history="1">
        <w:r w:rsidR="00850729" w:rsidRPr="00F50440">
          <w:rPr>
            <w:rStyle w:val="Hyperlink"/>
          </w:rPr>
          <w:t>https://humanrights.gov.au/our-work/childrens-rights/projects/supporting-quality-engagement-children</w:t>
        </w:r>
      </w:hyperlink>
      <w:r w:rsidR="00850729">
        <w:t xml:space="preserve"> </w:t>
      </w:r>
    </w:p>
    <w:p w14:paraId="051DAFED" w14:textId="4D977D66" w:rsidR="00125857" w:rsidRDefault="00125857" w:rsidP="00B378D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B201" w14:textId="3B3A514D" w:rsidR="00861764" w:rsidRDefault="00861764" w:rsidP="009A4232">
    <w:pPr>
      <w:pStyle w:val="PageNumber1"/>
    </w:pPr>
    <w:r>
      <w:rPr>
        <w:noProof w:val="0"/>
      </w:rPr>
      <w:fldChar w:fldCharType="begin"/>
    </w:r>
    <w:r>
      <w:instrText xml:space="preserve"> PAGE   \* MERGEFORMAT </w:instrText>
    </w:r>
    <w:r>
      <w:rPr>
        <w:noProof w:val="0"/>
      </w:rPr>
      <w:fldChar w:fldCharType="separate"/>
    </w:r>
    <w:r w:rsidR="00CF46FA">
      <w:t>3</w:t>
    </w:r>
    <w:r>
      <w:fldChar w:fldCharType="end"/>
    </w:r>
    <w:r>
      <w:t xml:space="preserve"> </w:t>
    </w:r>
    <w:r w:rsidR="00317BCD">
      <w:t>–</w:t>
    </w:r>
    <w:r>
      <w:t xml:space="preserve"> </w:t>
    </w:r>
    <w:r w:rsidR="00317BCD">
      <w:t xml:space="preserve">Corporate Plan </w:t>
    </w:r>
    <w:r w:rsidR="00317BCD" w:rsidRPr="00317BCD">
      <w:t>2024–28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FE08" w14:textId="77777777" w:rsidR="00861764" w:rsidRDefault="00000000" w:rsidP="00D86E50">
    <w:pPr>
      <w:tabs>
        <w:tab w:val="left" w:pos="3040"/>
      </w:tabs>
      <w:jc w:val="center"/>
    </w:pPr>
    <w:sdt>
      <w:sdtPr>
        <w:id w:val="95303039"/>
        <w:docPartObj>
          <w:docPartGallery w:val="Page Numbers (Bottom of Page)"/>
          <w:docPartUnique/>
        </w:docPartObj>
      </w:sdtPr>
      <w:sdtEndPr>
        <w:rPr>
          <w:noProof/>
        </w:rPr>
      </w:sdtEndPr>
      <w:sdtContent/>
    </w:sdt>
  </w:p>
  <w:p w14:paraId="53D41F32" w14:textId="77777777" w:rsidR="00861764" w:rsidRDefault="00861764"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9BA9" w14:textId="77777777" w:rsidR="00493825" w:rsidRDefault="00493825" w:rsidP="008F3023">
      <w:pPr>
        <w:spacing w:after="0" w:line="240" w:lineRule="auto"/>
      </w:pPr>
      <w:r>
        <w:separator/>
      </w:r>
    </w:p>
  </w:footnote>
  <w:footnote w:type="continuationSeparator" w:id="0">
    <w:p w14:paraId="3E218C9D" w14:textId="77777777" w:rsidR="00493825" w:rsidRDefault="00493825" w:rsidP="008F3023">
      <w:pPr>
        <w:spacing w:after="0" w:line="240" w:lineRule="auto"/>
      </w:pPr>
      <w:r>
        <w:continuationSeparator/>
      </w:r>
    </w:p>
  </w:footnote>
  <w:footnote w:type="continuationNotice" w:id="1">
    <w:p w14:paraId="5D3E7BB8" w14:textId="77777777" w:rsidR="00493825" w:rsidRDefault="00493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0DF8F" w14:textId="3AB54F79" w:rsidR="00E85482" w:rsidRDefault="00E85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861764" w14:paraId="11587513" w14:textId="77777777" w:rsidTr="00C263A2">
      <w:trPr>
        <w:trHeight w:val="300"/>
      </w:trPr>
      <w:tc>
        <w:tcPr>
          <w:tcW w:w="3400" w:type="dxa"/>
        </w:tcPr>
        <w:p w14:paraId="4CBEF409" w14:textId="77777777" w:rsidR="00861764" w:rsidRDefault="00861764" w:rsidP="00C263A2">
          <w:pPr>
            <w:pStyle w:val="Header"/>
            <w:ind w:left="-115"/>
          </w:pPr>
        </w:p>
      </w:tc>
      <w:tc>
        <w:tcPr>
          <w:tcW w:w="3400" w:type="dxa"/>
        </w:tcPr>
        <w:p w14:paraId="54A4E977" w14:textId="77777777" w:rsidR="00861764" w:rsidRDefault="00861764" w:rsidP="00C263A2">
          <w:pPr>
            <w:pStyle w:val="Header"/>
            <w:jc w:val="center"/>
          </w:pPr>
        </w:p>
      </w:tc>
      <w:tc>
        <w:tcPr>
          <w:tcW w:w="3400" w:type="dxa"/>
        </w:tcPr>
        <w:p w14:paraId="559D5F28" w14:textId="77777777" w:rsidR="00861764" w:rsidRDefault="00861764" w:rsidP="00C263A2">
          <w:pPr>
            <w:pStyle w:val="Header"/>
            <w:ind w:right="-115"/>
            <w:jc w:val="right"/>
          </w:pPr>
        </w:p>
      </w:tc>
    </w:tr>
  </w:tbl>
  <w:p w14:paraId="099010D4" w14:textId="58B69AB7" w:rsidR="00861764" w:rsidRDefault="00861764" w:rsidP="00C26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ABA5" w14:textId="4C1AC99C" w:rsidR="00E85482" w:rsidRDefault="00E85482" w:rsidP="00510D1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36D2" w14:textId="50CD8C59" w:rsidR="00E85482" w:rsidRDefault="00E854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F311" w14:textId="788E0F51" w:rsidR="00861764" w:rsidRDefault="00861764" w:rsidP="00F76D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24C4" w14:textId="705A3C70" w:rsidR="00E85482" w:rsidRDefault="00E85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F50"/>
    <w:multiLevelType w:val="hybridMultilevel"/>
    <w:tmpl w:val="76D07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4750D"/>
    <w:multiLevelType w:val="hybridMultilevel"/>
    <w:tmpl w:val="E738D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708C1"/>
    <w:multiLevelType w:val="hybridMultilevel"/>
    <w:tmpl w:val="25020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54BC5"/>
    <w:multiLevelType w:val="hybridMultilevel"/>
    <w:tmpl w:val="3C806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476ED"/>
    <w:multiLevelType w:val="multilevel"/>
    <w:tmpl w:val="538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4650C"/>
    <w:multiLevelType w:val="multilevel"/>
    <w:tmpl w:val="8588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E43C0"/>
    <w:multiLevelType w:val="hybridMultilevel"/>
    <w:tmpl w:val="C9D0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41E01"/>
    <w:multiLevelType w:val="hybridMultilevel"/>
    <w:tmpl w:val="97400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02622"/>
    <w:multiLevelType w:val="hybridMultilevel"/>
    <w:tmpl w:val="4988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2661D"/>
    <w:multiLevelType w:val="multilevel"/>
    <w:tmpl w:val="5C66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65F90"/>
    <w:multiLevelType w:val="multilevel"/>
    <w:tmpl w:val="0C09001D"/>
    <w:styleLink w:val="AusGovStyleManualList"/>
    <w:lvl w:ilvl="0">
      <w:start w:val="1"/>
      <w:numFmt w:val="bullet"/>
      <w:lvlText w:val="•"/>
      <w:lvlJc w:val="left"/>
      <w:pPr>
        <w:ind w:left="360" w:hanging="360"/>
      </w:pPr>
      <w:rPr>
        <w:rFonts w:asciiTheme="minorHAnsi" w:hAnsiTheme="minorHAnsi" w:hint="default"/>
        <w:color w:val="auto"/>
      </w:rPr>
    </w:lvl>
    <w:lvl w:ilvl="1">
      <w:start w:val="1"/>
      <w:numFmt w:val="bullet"/>
      <w:lvlText w:val="‐"/>
      <w:lvlJc w:val="left"/>
      <w:pPr>
        <w:ind w:left="720" w:hanging="360"/>
      </w:pPr>
      <w:rPr>
        <w:rFonts w:asciiTheme="minorHAnsi" w:hAnsiTheme="minorHAnsi" w:hint="default"/>
        <w:color w:val="auto"/>
      </w:rPr>
    </w:lvl>
    <w:lvl w:ilvl="2">
      <w:start w:val="1"/>
      <w:numFmt w:val="bullet"/>
      <w:lvlText w:val="◦"/>
      <w:lvlJc w:val="left"/>
      <w:pPr>
        <w:ind w:left="1080" w:hanging="360"/>
      </w:pPr>
      <w:rPr>
        <w:rFonts w:asciiTheme="minorHAnsi" w:hAnsiTheme="minorHAnsi" w:hint="default"/>
        <w:color w:val="auto"/>
      </w:rPr>
    </w:lvl>
    <w:lvl w:ilvl="3">
      <w:start w:val="1"/>
      <w:numFmt w:val="bullet"/>
      <w:lvlText w:val="▪"/>
      <w:lvlJc w:val="left"/>
      <w:pPr>
        <w:ind w:left="1440" w:hanging="360"/>
      </w:pPr>
      <w:rPr>
        <w:rFonts w:asciiTheme="minorHAnsi" w:hAnsiTheme="minorHAnsi" w:hint="default"/>
        <w:color w:val="auto"/>
      </w:rPr>
    </w:lvl>
    <w:lvl w:ilvl="4">
      <w:start w:val="1"/>
      <w:numFmt w:val="bullet"/>
      <w:lvlText w:val="▫"/>
      <w:lvlJc w:val="left"/>
      <w:pPr>
        <w:ind w:left="1800" w:hanging="360"/>
      </w:pPr>
      <w:rPr>
        <w:rFonts w:asciiTheme="minorHAnsi" w:hAnsiTheme="minorHAnsi"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0F68EA"/>
    <w:multiLevelType w:val="hybridMultilevel"/>
    <w:tmpl w:val="5B880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1D2743"/>
    <w:multiLevelType w:val="hybridMultilevel"/>
    <w:tmpl w:val="DDCA1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FD1BA9"/>
    <w:multiLevelType w:val="hybridMultilevel"/>
    <w:tmpl w:val="C49E5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FF0C62"/>
    <w:multiLevelType w:val="multilevel"/>
    <w:tmpl w:val="7E6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62841"/>
    <w:multiLevelType w:val="hybridMultilevel"/>
    <w:tmpl w:val="DBFA9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733604"/>
    <w:multiLevelType w:val="multilevel"/>
    <w:tmpl w:val="956AAB5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4808BE"/>
    <w:multiLevelType w:val="hybridMultilevel"/>
    <w:tmpl w:val="2CCA8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1932FA"/>
    <w:multiLevelType w:val="hybridMultilevel"/>
    <w:tmpl w:val="D00A9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54487D"/>
    <w:multiLevelType w:val="hybridMultilevel"/>
    <w:tmpl w:val="56E86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C34ACD"/>
    <w:multiLevelType w:val="hybridMultilevel"/>
    <w:tmpl w:val="C5B09E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E55D24"/>
    <w:multiLevelType w:val="hybridMultilevel"/>
    <w:tmpl w:val="0BF6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544687"/>
    <w:multiLevelType w:val="multilevel"/>
    <w:tmpl w:val="80FA67D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F51F97"/>
    <w:multiLevelType w:val="multilevel"/>
    <w:tmpl w:val="BA04CF4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54520F"/>
    <w:multiLevelType w:val="hybridMultilevel"/>
    <w:tmpl w:val="7D6C2DC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E7F65B6"/>
    <w:multiLevelType w:val="hybridMultilevel"/>
    <w:tmpl w:val="99C6E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4052DA"/>
    <w:multiLevelType w:val="hybridMultilevel"/>
    <w:tmpl w:val="85627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3131F"/>
    <w:multiLevelType w:val="hybridMultilevel"/>
    <w:tmpl w:val="6CE0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4B0665"/>
    <w:multiLevelType w:val="hybridMultilevel"/>
    <w:tmpl w:val="FB78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292B08"/>
    <w:multiLevelType w:val="hybridMultilevel"/>
    <w:tmpl w:val="17B87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75661"/>
    <w:multiLevelType w:val="hybridMultilevel"/>
    <w:tmpl w:val="7DD0FB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C05247"/>
    <w:multiLevelType w:val="hybridMultilevel"/>
    <w:tmpl w:val="EDFA3A2A"/>
    <w:lvl w:ilvl="0" w:tplc="EAD8FB1E">
      <w:start w:val="1"/>
      <w:numFmt w:val="bullet"/>
      <w:lvlText w:val=""/>
      <w:lvlJc w:val="left"/>
      <w:pPr>
        <w:ind w:left="720" w:hanging="360"/>
      </w:pPr>
      <w:rPr>
        <w:rFonts w:ascii="Symbol" w:hAnsi="Symbol" w:hint="default"/>
      </w:rPr>
    </w:lvl>
    <w:lvl w:ilvl="1" w:tplc="762CDD2C">
      <w:start w:val="1"/>
      <w:numFmt w:val="bullet"/>
      <w:lvlText w:val="o"/>
      <w:lvlJc w:val="left"/>
      <w:pPr>
        <w:ind w:left="1440" w:hanging="360"/>
      </w:pPr>
      <w:rPr>
        <w:rFonts w:ascii="Courier New" w:hAnsi="Courier New" w:hint="default"/>
      </w:rPr>
    </w:lvl>
    <w:lvl w:ilvl="2" w:tplc="6E46E0FC">
      <w:start w:val="1"/>
      <w:numFmt w:val="bullet"/>
      <w:lvlText w:val=""/>
      <w:lvlJc w:val="left"/>
      <w:pPr>
        <w:ind w:left="2160" w:hanging="360"/>
      </w:pPr>
      <w:rPr>
        <w:rFonts w:ascii="Wingdings" w:hAnsi="Wingdings" w:hint="default"/>
      </w:rPr>
    </w:lvl>
    <w:lvl w:ilvl="3" w:tplc="C3C274D0">
      <w:start w:val="1"/>
      <w:numFmt w:val="bullet"/>
      <w:lvlText w:val=""/>
      <w:lvlJc w:val="left"/>
      <w:pPr>
        <w:ind w:left="2880" w:hanging="360"/>
      </w:pPr>
      <w:rPr>
        <w:rFonts w:ascii="Symbol" w:hAnsi="Symbol" w:hint="default"/>
      </w:rPr>
    </w:lvl>
    <w:lvl w:ilvl="4" w:tplc="C71282DA">
      <w:start w:val="1"/>
      <w:numFmt w:val="bullet"/>
      <w:lvlText w:val="o"/>
      <w:lvlJc w:val="left"/>
      <w:pPr>
        <w:ind w:left="3600" w:hanging="360"/>
      </w:pPr>
      <w:rPr>
        <w:rFonts w:ascii="Courier New" w:hAnsi="Courier New" w:hint="default"/>
      </w:rPr>
    </w:lvl>
    <w:lvl w:ilvl="5" w:tplc="621E6DEE">
      <w:start w:val="1"/>
      <w:numFmt w:val="bullet"/>
      <w:lvlText w:val=""/>
      <w:lvlJc w:val="left"/>
      <w:pPr>
        <w:ind w:left="4320" w:hanging="360"/>
      </w:pPr>
      <w:rPr>
        <w:rFonts w:ascii="Wingdings" w:hAnsi="Wingdings" w:hint="default"/>
      </w:rPr>
    </w:lvl>
    <w:lvl w:ilvl="6" w:tplc="AB00B7B2">
      <w:start w:val="1"/>
      <w:numFmt w:val="bullet"/>
      <w:lvlText w:val=""/>
      <w:lvlJc w:val="left"/>
      <w:pPr>
        <w:ind w:left="5040" w:hanging="360"/>
      </w:pPr>
      <w:rPr>
        <w:rFonts w:ascii="Symbol" w:hAnsi="Symbol" w:hint="default"/>
      </w:rPr>
    </w:lvl>
    <w:lvl w:ilvl="7" w:tplc="A476AF8E">
      <w:start w:val="1"/>
      <w:numFmt w:val="bullet"/>
      <w:lvlText w:val="o"/>
      <w:lvlJc w:val="left"/>
      <w:pPr>
        <w:ind w:left="5760" w:hanging="360"/>
      </w:pPr>
      <w:rPr>
        <w:rFonts w:ascii="Courier New" w:hAnsi="Courier New" w:hint="default"/>
      </w:rPr>
    </w:lvl>
    <w:lvl w:ilvl="8" w:tplc="6EEA60B2">
      <w:start w:val="1"/>
      <w:numFmt w:val="bullet"/>
      <w:lvlText w:val=""/>
      <w:lvlJc w:val="left"/>
      <w:pPr>
        <w:ind w:left="6480" w:hanging="360"/>
      </w:pPr>
      <w:rPr>
        <w:rFonts w:ascii="Wingdings" w:hAnsi="Wingdings" w:hint="default"/>
      </w:rPr>
    </w:lvl>
  </w:abstractNum>
  <w:abstractNum w:abstractNumId="32" w15:restartNumberingAfterBreak="0">
    <w:nsid w:val="722552F9"/>
    <w:multiLevelType w:val="multilevel"/>
    <w:tmpl w:val="5C66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4" w15:restartNumberingAfterBreak="0">
    <w:nsid w:val="76AF69EF"/>
    <w:multiLevelType w:val="multilevel"/>
    <w:tmpl w:val="8AB6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56C91"/>
    <w:multiLevelType w:val="multilevel"/>
    <w:tmpl w:val="95C4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836BC3"/>
    <w:multiLevelType w:val="hybridMultilevel"/>
    <w:tmpl w:val="C284D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E5126A"/>
    <w:multiLevelType w:val="hybridMultilevel"/>
    <w:tmpl w:val="5EBA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945585">
    <w:abstractNumId w:val="31"/>
  </w:num>
  <w:num w:numId="2" w16cid:durableId="1975256365">
    <w:abstractNumId w:val="33"/>
  </w:num>
  <w:num w:numId="3" w16cid:durableId="897058088">
    <w:abstractNumId w:val="10"/>
  </w:num>
  <w:num w:numId="4" w16cid:durableId="1422482963">
    <w:abstractNumId w:val="22"/>
  </w:num>
  <w:num w:numId="5" w16cid:durableId="726417126">
    <w:abstractNumId w:val="16"/>
  </w:num>
  <w:num w:numId="6" w16cid:durableId="291988000">
    <w:abstractNumId w:val="18"/>
  </w:num>
  <w:num w:numId="7" w16cid:durableId="1310943117">
    <w:abstractNumId w:val="29"/>
  </w:num>
  <w:num w:numId="8" w16cid:durableId="1832597302">
    <w:abstractNumId w:val="21"/>
  </w:num>
  <w:num w:numId="9" w16cid:durableId="64226641">
    <w:abstractNumId w:val="7"/>
  </w:num>
  <w:num w:numId="10" w16cid:durableId="932398863">
    <w:abstractNumId w:val="19"/>
  </w:num>
  <w:num w:numId="11" w16cid:durableId="616645818">
    <w:abstractNumId w:val="25"/>
  </w:num>
  <w:num w:numId="12" w16cid:durableId="114258360">
    <w:abstractNumId w:val="36"/>
  </w:num>
  <w:num w:numId="13" w16cid:durableId="1436092669">
    <w:abstractNumId w:val="0"/>
  </w:num>
  <w:num w:numId="14" w16cid:durableId="708838807">
    <w:abstractNumId w:val="8"/>
  </w:num>
  <w:num w:numId="15" w16cid:durableId="2018533654">
    <w:abstractNumId w:val="9"/>
  </w:num>
  <w:num w:numId="16" w16cid:durableId="872352645">
    <w:abstractNumId w:val="4"/>
  </w:num>
  <w:num w:numId="17" w16cid:durableId="124931689">
    <w:abstractNumId w:val="5"/>
  </w:num>
  <w:num w:numId="18" w16cid:durableId="311955742">
    <w:abstractNumId w:val="34"/>
  </w:num>
  <w:num w:numId="19" w16cid:durableId="1071661818">
    <w:abstractNumId w:val="15"/>
  </w:num>
  <w:num w:numId="20" w16cid:durableId="713190299">
    <w:abstractNumId w:val="32"/>
  </w:num>
  <w:num w:numId="21" w16cid:durableId="1608660614">
    <w:abstractNumId w:val="30"/>
  </w:num>
  <w:num w:numId="22" w16cid:durableId="1491368663">
    <w:abstractNumId w:val="20"/>
  </w:num>
  <w:num w:numId="23" w16cid:durableId="183788083">
    <w:abstractNumId w:val="3"/>
  </w:num>
  <w:num w:numId="24" w16cid:durableId="792477157">
    <w:abstractNumId w:val="13"/>
  </w:num>
  <w:num w:numId="25" w16cid:durableId="1669408069">
    <w:abstractNumId w:val="37"/>
  </w:num>
  <w:num w:numId="26" w16cid:durableId="1108349830">
    <w:abstractNumId w:val="11"/>
  </w:num>
  <w:num w:numId="27" w16cid:durableId="2144929263">
    <w:abstractNumId w:val="23"/>
  </w:num>
  <w:num w:numId="28" w16cid:durableId="1599673009">
    <w:abstractNumId w:val="24"/>
  </w:num>
  <w:num w:numId="29" w16cid:durableId="1185167188">
    <w:abstractNumId w:val="17"/>
  </w:num>
  <w:num w:numId="30" w16cid:durableId="244414482">
    <w:abstractNumId w:val="14"/>
  </w:num>
  <w:num w:numId="31" w16cid:durableId="1428840916">
    <w:abstractNumId w:val="26"/>
  </w:num>
  <w:num w:numId="32" w16cid:durableId="401566317">
    <w:abstractNumId w:val="12"/>
  </w:num>
  <w:num w:numId="33" w16cid:durableId="498271643">
    <w:abstractNumId w:val="35"/>
  </w:num>
  <w:num w:numId="34" w16cid:durableId="199901353">
    <w:abstractNumId w:val="27"/>
  </w:num>
  <w:num w:numId="35" w16cid:durableId="349382547">
    <w:abstractNumId w:val="28"/>
  </w:num>
  <w:num w:numId="36" w16cid:durableId="1330671383">
    <w:abstractNumId w:val="6"/>
  </w:num>
  <w:num w:numId="37" w16cid:durableId="776217355">
    <w:abstractNumId w:val="1"/>
  </w:num>
  <w:num w:numId="38" w16cid:durableId="126668831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49"/>
    <w:rsid w:val="0000017A"/>
    <w:rsid w:val="0000074C"/>
    <w:rsid w:val="000018F6"/>
    <w:rsid w:val="000023AA"/>
    <w:rsid w:val="000025A2"/>
    <w:rsid w:val="00002834"/>
    <w:rsid w:val="0000297D"/>
    <w:rsid w:val="000029A0"/>
    <w:rsid w:val="00002B1E"/>
    <w:rsid w:val="00002C57"/>
    <w:rsid w:val="0000312B"/>
    <w:rsid w:val="000043E3"/>
    <w:rsid w:val="000047E8"/>
    <w:rsid w:val="00004E89"/>
    <w:rsid w:val="00004F21"/>
    <w:rsid w:val="00004F45"/>
    <w:rsid w:val="0000605A"/>
    <w:rsid w:val="00006E3B"/>
    <w:rsid w:val="000074C8"/>
    <w:rsid w:val="00007625"/>
    <w:rsid w:val="000078BD"/>
    <w:rsid w:val="000101E2"/>
    <w:rsid w:val="0001116F"/>
    <w:rsid w:val="0001164E"/>
    <w:rsid w:val="00012EFC"/>
    <w:rsid w:val="000140B8"/>
    <w:rsid w:val="00014475"/>
    <w:rsid w:val="00014AB1"/>
    <w:rsid w:val="00014E14"/>
    <w:rsid w:val="000151CB"/>
    <w:rsid w:val="00016470"/>
    <w:rsid w:val="000165B8"/>
    <w:rsid w:val="0001660C"/>
    <w:rsid w:val="00016634"/>
    <w:rsid w:val="00016F79"/>
    <w:rsid w:val="00020D87"/>
    <w:rsid w:val="000217B5"/>
    <w:rsid w:val="00021D2B"/>
    <w:rsid w:val="000224FE"/>
    <w:rsid w:val="00022F0D"/>
    <w:rsid w:val="00023188"/>
    <w:rsid w:val="00023516"/>
    <w:rsid w:val="000237DC"/>
    <w:rsid w:val="00024481"/>
    <w:rsid w:val="00024664"/>
    <w:rsid w:val="000251B5"/>
    <w:rsid w:val="00026291"/>
    <w:rsid w:val="00026DFA"/>
    <w:rsid w:val="00026EE7"/>
    <w:rsid w:val="00027706"/>
    <w:rsid w:val="00027EE3"/>
    <w:rsid w:val="00030293"/>
    <w:rsid w:val="000304E8"/>
    <w:rsid w:val="000308C9"/>
    <w:rsid w:val="00030A44"/>
    <w:rsid w:val="00030F68"/>
    <w:rsid w:val="000316D2"/>
    <w:rsid w:val="00031B57"/>
    <w:rsid w:val="000325BA"/>
    <w:rsid w:val="0003293C"/>
    <w:rsid w:val="00033232"/>
    <w:rsid w:val="00033FB4"/>
    <w:rsid w:val="000341F6"/>
    <w:rsid w:val="00034811"/>
    <w:rsid w:val="00035573"/>
    <w:rsid w:val="000357C9"/>
    <w:rsid w:val="0003586A"/>
    <w:rsid w:val="000361D2"/>
    <w:rsid w:val="0003666E"/>
    <w:rsid w:val="00037FAF"/>
    <w:rsid w:val="000401A2"/>
    <w:rsid w:val="00040740"/>
    <w:rsid w:val="000409CC"/>
    <w:rsid w:val="00040A23"/>
    <w:rsid w:val="00041D69"/>
    <w:rsid w:val="000421CF"/>
    <w:rsid w:val="00042746"/>
    <w:rsid w:val="00042D51"/>
    <w:rsid w:val="00042F4F"/>
    <w:rsid w:val="000431A0"/>
    <w:rsid w:val="00043690"/>
    <w:rsid w:val="00043EAB"/>
    <w:rsid w:val="00044C4A"/>
    <w:rsid w:val="00044E0C"/>
    <w:rsid w:val="00044F7C"/>
    <w:rsid w:val="00045242"/>
    <w:rsid w:val="00045EEF"/>
    <w:rsid w:val="0004680C"/>
    <w:rsid w:val="00046868"/>
    <w:rsid w:val="000469C4"/>
    <w:rsid w:val="00046EDA"/>
    <w:rsid w:val="00047914"/>
    <w:rsid w:val="00047CA5"/>
    <w:rsid w:val="00047CFD"/>
    <w:rsid w:val="00050593"/>
    <w:rsid w:val="00050990"/>
    <w:rsid w:val="00051700"/>
    <w:rsid w:val="00052804"/>
    <w:rsid w:val="0005304B"/>
    <w:rsid w:val="00053A40"/>
    <w:rsid w:val="00053DDB"/>
    <w:rsid w:val="00054FA4"/>
    <w:rsid w:val="000554D0"/>
    <w:rsid w:val="00055B0B"/>
    <w:rsid w:val="00055F33"/>
    <w:rsid w:val="00056568"/>
    <w:rsid w:val="000600F8"/>
    <w:rsid w:val="00060135"/>
    <w:rsid w:val="00060DD3"/>
    <w:rsid w:val="00061B4A"/>
    <w:rsid w:val="00063099"/>
    <w:rsid w:val="00064140"/>
    <w:rsid w:val="0006422F"/>
    <w:rsid w:val="000646D4"/>
    <w:rsid w:val="00064DB9"/>
    <w:rsid w:val="000652F0"/>
    <w:rsid w:val="0006542D"/>
    <w:rsid w:val="00065FD7"/>
    <w:rsid w:val="0006725E"/>
    <w:rsid w:val="000677A7"/>
    <w:rsid w:val="00067986"/>
    <w:rsid w:val="0007029B"/>
    <w:rsid w:val="0007123E"/>
    <w:rsid w:val="000713B6"/>
    <w:rsid w:val="0007223E"/>
    <w:rsid w:val="000724D6"/>
    <w:rsid w:val="00072517"/>
    <w:rsid w:val="0007298E"/>
    <w:rsid w:val="000729AF"/>
    <w:rsid w:val="00074C22"/>
    <w:rsid w:val="0007666E"/>
    <w:rsid w:val="000768B4"/>
    <w:rsid w:val="00077284"/>
    <w:rsid w:val="000779CD"/>
    <w:rsid w:val="00077C42"/>
    <w:rsid w:val="000800AE"/>
    <w:rsid w:val="0008038A"/>
    <w:rsid w:val="0008049E"/>
    <w:rsid w:val="00080CBB"/>
    <w:rsid w:val="00081285"/>
    <w:rsid w:val="00081324"/>
    <w:rsid w:val="000815FB"/>
    <w:rsid w:val="00081610"/>
    <w:rsid w:val="00081BBD"/>
    <w:rsid w:val="00081EFF"/>
    <w:rsid w:val="00082342"/>
    <w:rsid w:val="00083A4A"/>
    <w:rsid w:val="00083FDC"/>
    <w:rsid w:val="00084372"/>
    <w:rsid w:val="00084D59"/>
    <w:rsid w:val="00084EAC"/>
    <w:rsid w:val="000857B6"/>
    <w:rsid w:val="00085B0A"/>
    <w:rsid w:val="00085FDD"/>
    <w:rsid w:val="00085FFB"/>
    <w:rsid w:val="00086187"/>
    <w:rsid w:val="000864E4"/>
    <w:rsid w:val="000866E6"/>
    <w:rsid w:val="00086FA5"/>
    <w:rsid w:val="00087120"/>
    <w:rsid w:val="000874AA"/>
    <w:rsid w:val="00087DD8"/>
    <w:rsid w:val="00087F3C"/>
    <w:rsid w:val="0009099A"/>
    <w:rsid w:val="000916EB"/>
    <w:rsid w:val="000925BF"/>
    <w:rsid w:val="00092797"/>
    <w:rsid w:val="0009291B"/>
    <w:rsid w:val="00092E9E"/>
    <w:rsid w:val="000933C4"/>
    <w:rsid w:val="00093EC3"/>
    <w:rsid w:val="0009405C"/>
    <w:rsid w:val="00094443"/>
    <w:rsid w:val="0009567E"/>
    <w:rsid w:val="0009594C"/>
    <w:rsid w:val="00096693"/>
    <w:rsid w:val="00096769"/>
    <w:rsid w:val="000968ED"/>
    <w:rsid w:val="00096EEA"/>
    <w:rsid w:val="000970B7"/>
    <w:rsid w:val="000974C1"/>
    <w:rsid w:val="000A0127"/>
    <w:rsid w:val="000A0BF0"/>
    <w:rsid w:val="000A1460"/>
    <w:rsid w:val="000A1591"/>
    <w:rsid w:val="000A1DD8"/>
    <w:rsid w:val="000A2AE5"/>
    <w:rsid w:val="000A30AE"/>
    <w:rsid w:val="000A332D"/>
    <w:rsid w:val="000A40D6"/>
    <w:rsid w:val="000A5D63"/>
    <w:rsid w:val="000A5E28"/>
    <w:rsid w:val="000A6576"/>
    <w:rsid w:val="000A7474"/>
    <w:rsid w:val="000A76D2"/>
    <w:rsid w:val="000B0921"/>
    <w:rsid w:val="000B18C4"/>
    <w:rsid w:val="000B2654"/>
    <w:rsid w:val="000B2AB8"/>
    <w:rsid w:val="000B2E2B"/>
    <w:rsid w:val="000B3172"/>
    <w:rsid w:val="000B34F1"/>
    <w:rsid w:val="000B4B8B"/>
    <w:rsid w:val="000B4F35"/>
    <w:rsid w:val="000B5281"/>
    <w:rsid w:val="000B5CA3"/>
    <w:rsid w:val="000B5FAA"/>
    <w:rsid w:val="000B644D"/>
    <w:rsid w:val="000B6C97"/>
    <w:rsid w:val="000C1C5A"/>
    <w:rsid w:val="000C2034"/>
    <w:rsid w:val="000C2404"/>
    <w:rsid w:val="000C243C"/>
    <w:rsid w:val="000C2AE7"/>
    <w:rsid w:val="000C2F4D"/>
    <w:rsid w:val="000C48E2"/>
    <w:rsid w:val="000C4A0F"/>
    <w:rsid w:val="000C4CE9"/>
    <w:rsid w:val="000C7464"/>
    <w:rsid w:val="000C7475"/>
    <w:rsid w:val="000C7956"/>
    <w:rsid w:val="000C7B49"/>
    <w:rsid w:val="000C7CF4"/>
    <w:rsid w:val="000D000D"/>
    <w:rsid w:val="000D046B"/>
    <w:rsid w:val="000D04DC"/>
    <w:rsid w:val="000D1162"/>
    <w:rsid w:val="000D15B3"/>
    <w:rsid w:val="000D1BF1"/>
    <w:rsid w:val="000D1C49"/>
    <w:rsid w:val="000D1E52"/>
    <w:rsid w:val="000D2C23"/>
    <w:rsid w:val="000D3133"/>
    <w:rsid w:val="000D315B"/>
    <w:rsid w:val="000D32DB"/>
    <w:rsid w:val="000D369C"/>
    <w:rsid w:val="000D3EF3"/>
    <w:rsid w:val="000D4423"/>
    <w:rsid w:val="000D53E2"/>
    <w:rsid w:val="000D5965"/>
    <w:rsid w:val="000D6667"/>
    <w:rsid w:val="000D71BB"/>
    <w:rsid w:val="000D7211"/>
    <w:rsid w:val="000D7E16"/>
    <w:rsid w:val="000E0117"/>
    <w:rsid w:val="000E028F"/>
    <w:rsid w:val="000E0409"/>
    <w:rsid w:val="000E05EE"/>
    <w:rsid w:val="000E10C9"/>
    <w:rsid w:val="000E135B"/>
    <w:rsid w:val="000E13F4"/>
    <w:rsid w:val="000E17B2"/>
    <w:rsid w:val="000E2EDE"/>
    <w:rsid w:val="000E306F"/>
    <w:rsid w:val="000E4D52"/>
    <w:rsid w:val="000E4D7C"/>
    <w:rsid w:val="000E55FE"/>
    <w:rsid w:val="000E573D"/>
    <w:rsid w:val="000E66E1"/>
    <w:rsid w:val="000E6AAB"/>
    <w:rsid w:val="000E76C8"/>
    <w:rsid w:val="000F0F04"/>
    <w:rsid w:val="000F2572"/>
    <w:rsid w:val="000F2757"/>
    <w:rsid w:val="000F36BD"/>
    <w:rsid w:val="000F3821"/>
    <w:rsid w:val="000F42D9"/>
    <w:rsid w:val="000F4D4C"/>
    <w:rsid w:val="000F51B6"/>
    <w:rsid w:val="000F63BF"/>
    <w:rsid w:val="000F6503"/>
    <w:rsid w:val="000F6E37"/>
    <w:rsid w:val="000F6E9D"/>
    <w:rsid w:val="000F7266"/>
    <w:rsid w:val="000F75FC"/>
    <w:rsid w:val="000F76C5"/>
    <w:rsid w:val="00100861"/>
    <w:rsid w:val="00101919"/>
    <w:rsid w:val="00101B76"/>
    <w:rsid w:val="001024D3"/>
    <w:rsid w:val="00102C15"/>
    <w:rsid w:val="00103369"/>
    <w:rsid w:val="0010397B"/>
    <w:rsid w:val="001045E9"/>
    <w:rsid w:val="00104B2A"/>
    <w:rsid w:val="00104D54"/>
    <w:rsid w:val="00105899"/>
    <w:rsid w:val="00105DD5"/>
    <w:rsid w:val="00105E29"/>
    <w:rsid w:val="001067A8"/>
    <w:rsid w:val="00106F63"/>
    <w:rsid w:val="001073D7"/>
    <w:rsid w:val="00107790"/>
    <w:rsid w:val="00107887"/>
    <w:rsid w:val="001100E2"/>
    <w:rsid w:val="001106AA"/>
    <w:rsid w:val="00110D33"/>
    <w:rsid w:val="00111121"/>
    <w:rsid w:val="00111769"/>
    <w:rsid w:val="00111986"/>
    <w:rsid w:val="00111C8E"/>
    <w:rsid w:val="00112DA7"/>
    <w:rsid w:val="001154E8"/>
    <w:rsid w:val="0011553C"/>
    <w:rsid w:val="00115B30"/>
    <w:rsid w:val="00116426"/>
    <w:rsid w:val="00116626"/>
    <w:rsid w:val="001175C0"/>
    <w:rsid w:val="001176B0"/>
    <w:rsid w:val="00117822"/>
    <w:rsid w:val="00120528"/>
    <w:rsid w:val="0012127D"/>
    <w:rsid w:val="00121AE6"/>
    <w:rsid w:val="00121FDD"/>
    <w:rsid w:val="00122971"/>
    <w:rsid w:val="00122A19"/>
    <w:rsid w:val="00123332"/>
    <w:rsid w:val="0012363A"/>
    <w:rsid w:val="00124114"/>
    <w:rsid w:val="00124252"/>
    <w:rsid w:val="0012429B"/>
    <w:rsid w:val="00124AA1"/>
    <w:rsid w:val="00124C56"/>
    <w:rsid w:val="001256AF"/>
    <w:rsid w:val="00125809"/>
    <w:rsid w:val="00125857"/>
    <w:rsid w:val="00126DC9"/>
    <w:rsid w:val="00131050"/>
    <w:rsid w:val="00131963"/>
    <w:rsid w:val="00131C50"/>
    <w:rsid w:val="00133726"/>
    <w:rsid w:val="00133874"/>
    <w:rsid w:val="00133D28"/>
    <w:rsid w:val="00133E7C"/>
    <w:rsid w:val="001342DF"/>
    <w:rsid w:val="00134395"/>
    <w:rsid w:val="00135562"/>
    <w:rsid w:val="00135BE4"/>
    <w:rsid w:val="00135C37"/>
    <w:rsid w:val="00136A95"/>
    <w:rsid w:val="0013741D"/>
    <w:rsid w:val="0014028F"/>
    <w:rsid w:val="001410C5"/>
    <w:rsid w:val="001410EE"/>
    <w:rsid w:val="00141CFF"/>
    <w:rsid w:val="001427AA"/>
    <w:rsid w:val="001435D1"/>
    <w:rsid w:val="001439D6"/>
    <w:rsid w:val="00143BFE"/>
    <w:rsid w:val="00144B35"/>
    <w:rsid w:val="001457EA"/>
    <w:rsid w:val="001459BA"/>
    <w:rsid w:val="00145BC1"/>
    <w:rsid w:val="00145E7D"/>
    <w:rsid w:val="00146275"/>
    <w:rsid w:val="00146597"/>
    <w:rsid w:val="00146672"/>
    <w:rsid w:val="0014696C"/>
    <w:rsid w:val="001478C7"/>
    <w:rsid w:val="00147BBA"/>
    <w:rsid w:val="00147D7A"/>
    <w:rsid w:val="00147EA7"/>
    <w:rsid w:val="00150375"/>
    <w:rsid w:val="00150D2D"/>
    <w:rsid w:val="00150EDA"/>
    <w:rsid w:val="001510D7"/>
    <w:rsid w:val="00151576"/>
    <w:rsid w:val="00151AAA"/>
    <w:rsid w:val="00151D6D"/>
    <w:rsid w:val="001522CD"/>
    <w:rsid w:val="001534EF"/>
    <w:rsid w:val="0015424A"/>
    <w:rsid w:val="0015435F"/>
    <w:rsid w:val="001561F4"/>
    <w:rsid w:val="00156359"/>
    <w:rsid w:val="001565D1"/>
    <w:rsid w:val="00156F45"/>
    <w:rsid w:val="00157118"/>
    <w:rsid w:val="00157527"/>
    <w:rsid w:val="00157DFB"/>
    <w:rsid w:val="001600CE"/>
    <w:rsid w:val="00160863"/>
    <w:rsid w:val="001608B4"/>
    <w:rsid w:val="00160B27"/>
    <w:rsid w:val="00161696"/>
    <w:rsid w:val="00162DE6"/>
    <w:rsid w:val="00163763"/>
    <w:rsid w:val="0016402C"/>
    <w:rsid w:val="0016407A"/>
    <w:rsid w:val="00164A23"/>
    <w:rsid w:val="00164A43"/>
    <w:rsid w:val="001657D1"/>
    <w:rsid w:val="00165B18"/>
    <w:rsid w:val="00165F44"/>
    <w:rsid w:val="00165FEF"/>
    <w:rsid w:val="001665CD"/>
    <w:rsid w:val="001669E9"/>
    <w:rsid w:val="00166F39"/>
    <w:rsid w:val="00167893"/>
    <w:rsid w:val="00167C10"/>
    <w:rsid w:val="001700C1"/>
    <w:rsid w:val="00170728"/>
    <w:rsid w:val="001718B2"/>
    <w:rsid w:val="001725EE"/>
    <w:rsid w:val="00172E96"/>
    <w:rsid w:val="0017354D"/>
    <w:rsid w:val="001737FF"/>
    <w:rsid w:val="00173B0C"/>
    <w:rsid w:val="0017482F"/>
    <w:rsid w:val="001755B0"/>
    <w:rsid w:val="00175C72"/>
    <w:rsid w:val="00176EA8"/>
    <w:rsid w:val="00176F75"/>
    <w:rsid w:val="00180E3E"/>
    <w:rsid w:val="0018100F"/>
    <w:rsid w:val="00181698"/>
    <w:rsid w:val="00182BA9"/>
    <w:rsid w:val="00182F85"/>
    <w:rsid w:val="00182FE1"/>
    <w:rsid w:val="00183214"/>
    <w:rsid w:val="00183B80"/>
    <w:rsid w:val="00183D75"/>
    <w:rsid w:val="00184064"/>
    <w:rsid w:val="001840B9"/>
    <w:rsid w:val="001843E5"/>
    <w:rsid w:val="001843E7"/>
    <w:rsid w:val="00184E05"/>
    <w:rsid w:val="00184F7F"/>
    <w:rsid w:val="0018520D"/>
    <w:rsid w:val="00185C9D"/>
    <w:rsid w:val="00185D8B"/>
    <w:rsid w:val="00186244"/>
    <w:rsid w:val="001866EE"/>
    <w:rsid w:val="00187423"/>
    <w:rsid w:val="001900A0"/>
    <w:rsid w:val="001903F1"/>
    <w:rsid w:val="00190F77"/>
    <w:rsid w:val="00190FAC"/>
    <w:rsid w:val="00191957"/>
    <w:rsid w:val="0019204A"/>
    <w:rsid w:val="00193994"/>
    <w:rsid w:val="00195531"/>
    <w:rsid w:val="001959B0"/>
    <w:rsid w:val="00196A56"/>
    <w:rsid w:val="00196AB4"/>
    <w:rsid w:val="001972BF"/>
    <w:rsid w:val="001978FA"/>
    <w:rsid w:val="001A09DB"/>
    <w:rsid w:val="001A0BA9"/>
    <w:rsid w:val="001A1349"/>
    <w:rsid w:val="001A19A4"/>
    <w:rsid w:val="001A27F2"/>
    <w:rsid w:val="001A2EAA"/>
    <w:rsid w:val="001A3057"/>
    <w:rsid w:val="001A4687"/>
    <w:rsid w:val="001A48F5"/>
    <w:rsid w:val="001A4F06"/>
    <w:rsid w:val="001A53C6"/>
    <w:rsid w:val="001A5504"/>
    <w:rsid w:val="001A5647"/>
    <w:rsid w:val="001A57F0"/>
    <w:rsid w:val="001A6AC1"/>
    <w:rsid w:val="001A729D"/>
    <w:rsid w:val="001A73F6"/>
    <w:rsid w:val="001A7461"/>
    <w:rsid w:val="001A76F2"/>
    <w:rsid w:val="001A7801"/>
    <w:rsid w:val="001A7A4E"/>
    <w:rsid w:val="001B02F1"/>
    <w:rsid w:val="001B0466"/>
    <w:rsid w:val="001B0781"/>
    <w:rsid w:val="001B0B9C"/>
    <w:rsid w:val="001B0C39"/>
    <w:rsid w:val="001B0C87"/>
    <w:rsid w:val="001B26B1"/>
    <w:rsid w:val="001B40A5"/>
    <w:rsid w:val="001B41BF"/>
    <w:rsid w:val="001B5492"/>
    <w:rsid w:val="001B7B07"/>
    <w:rsid w:val="001C02A7"/>
    <w:rsid w:val="001C0314"/>
    <w:rsid w:val="001C0649"/>
    <w:rsid w:val="001C1272"/>
    <w:rsid w:val="001C24A1"/>
    <w:rsid w:val="001C2BE8"/>
    <w:rsid w:val="001C4FC6"/>
    <w:rsid w:val="001C534C"/>
    <w:rsid w:val="001C5DD8"/>
    <w:rsid w:val="001C6DDA"/>
    <w:rsid w:val="001C7237"/>
    <w:rsid w:val="001D0214"/>
    <w:rsid w:val="001D0445"/>
    <w:rsid w:val="001D0AA7"/>
    <w:rsid w:val="001D0F6D"/>
    <w:rsid w:val="001D13DD"/>
    <w:rsid w:val="001D332C"/>
    <w:rsid w:val="001D393F"/>
    <w:rsid w:val="001D5080"/>
    <w:rsid w:val="001D5648"/>
    <w:rsid w:val="001D578E"/>
    <w:rsid w:val="001D5917"/>
    <w:rsid w:val="001D5C6E"/>
    <w:rsid w:val="001D5EDC"/>
    <w:rsid w:val="001D6419"/>
    <w:rsid w:val="001D6791"/>
    <w:rsid w:val="001D6809"/>
    <w:rsid w:val="001D6D05"/>
    <w:rsid w:val="001D6FA4"/>
    <w:rsid w:val="001D7370"/>
    <w:rsid w:val="001D7A0E"/>
    <w:rsid w:val="001E02DA"/>
    <w:rsid w:val="001E08DE"/>
    <w:rsid w:val="001E0C36"/>
    <w:rsid w:val="001E1AED"/>
    <w:rsid w:val="001E4030"/>
    <w:rsid w:val="001E42DA"/>
    <w:rsid w:val="001E4362"/>
    <w:rsid w:val="001E46F2"/>
    <w:rsid w:val="001E474C"/>
    <w:rsid w:val="001E48DF"/>
    <w:rsid w:val="001E49F5"/>
    <w:rsid w:val="001E4B24"/>
    <w:rsid w:val="001E630D"/>
    <w:rsid w:val="001E7A82"/>
    <w:rsid w:val="001E7B75"/>
    <w:rsid w:val="001F0A38"/>
    <w:rsid w:val="001F1F37"/>
    <w:rsid w:val="001F26F1"/>
    <w:rsid w:val="001F2B14"/>
    <w:rsid w:val="001F2DC9"/>
    <w:rsid w:val="001F334A"/>
    <w:rsid w:val="001F3498"/>
    <w:rsid w:val="001F3A86"/>
    <w:rsid w:val="001F3AB8"/>
    <w:rsid w:val="001F4126"/>
    <w:rsid w:val="001F41F7"/>
    <w:rsid w:val="001F4EFF"/>
    <w:rsid w:val="001F5151"/>
    <w:rsid w:val="001F5BAF"/>
    <w:rsid w:val="001F78F2"/>
    <w:rsid w:val="00200FB3"/>
    <w:rsid w:val="00201794"/>
    <w:rsid w:val="002019FA"/>
    <w:rsid w:val="00201BE6"/>
    <w:rsid w:val="00202346"/>
    <w:rsid w:val="002032C8"/>
    <w:rsid w:val="002038B2"/>
    <w:rsid w:val="00203F60"/>
    <w:rsid w:val="002041A3"/>
    <w:rsid w:val="00204637"/>
    <w:rsid w:val="00204C3E"/>
    <w:rsid w:val="00204DE9"/>
    <w:rsid w:val="00205747"/>
    <w:rsid w:val="00205D53"/>
    <w:rsid w:val="00206953"/>
    <w:rsid w:val="002104C6"/>
    <w:rsid w:val="00211065"/>
    <w:rsid w:val="00211124"/>
    <w:rsid w:val="0021385A"/>
    <w:rsid w:val="0021438A"/>
    <w:rsid w:val="00214D18"/>
    <w:rsid w:val="00215328"/>
    <w:rsid w:val="002156BA"/>
    <w:rsid w:val="00216F5D"/>
    <w:rsid w:val="00217F63"/>
    <w:rsid w:val="0022000B"/>
    <w:rsid w:val="0022054B"/>
    <w:rsid w:val="00220C82"/>
    <w:rsid w:val="0022103A"/>
    <w:rsid w:val="00221DF5"/>
    <w:rsid w:val="00222176"/>
    <w:rsid w:val="00224105"/>
    <w:rsid w:val="00225488"/>
    <w:rsid w:val="00225D21"/>
    <w:rsid w:val="00225FBD"/>
    <w:rsid w:val="00226515"/>
    <w:rsid w:val="0022678D"/>
    <w:rsid w:val="00227628"/>
    <w:rsid w:val="00227D83"/>
    <w:rsid w:val="0023005A"/>
    <w:rsid w:val="00230A8F"/>
    <w:rsid w:val="00230C73"/>
    <w:rsid w:val="00231536"/>
    <w:rsid w:val="002317D9"/>
    <w:rsid w:val="00231FD1"/>
    <w:rsid w:val="0023306B"/>
    <w:rsid w:val="00233B79"/>
    <w:rsid w:val="00233ED1"/>
    <w:rsid w:val="00234181"/>
    <w:rsid w:val="00234259"/>
    <w:rsid w:val="002346B5"/>
    <w:rsid w:val="00235781"/>
    <w:rsid w:val="0023641E"/>
    <w:rsid w:val="00236561"/>
    <w:rsid w:val="00236BB5"/>
    <w:rsid w:val="00236DAF"/>
    <w:rsid w:val="00237090"/>
    <w:rsid w:val="0023717F"/>
    <w:rsid w:val="00237FFD"/>
    <w:rsid w:val="002400B3"/>
    <w:rsid w:val="00240156"/>
    <w:rsid w:val="00240A6E"/>
    <w:rsid w:val="00240B9A"/>
    <w:rsid w:val="00240D53"/>
    <w:rsid w:val="002413DA"/>
    <w:rsid w:val="00241725"/>
    <w:rsid w:val="002419D9"/>
    <w:rsid w:val="00241B22"/>
    <w:rsid w:val="002424D6"/>
    <w:rsid w:val="00242600"/>
    <w:rsid w:val="00242A7B"/>
    <w:rsid w:val="00243C69"/>
    <w:rsid w:val="00244232"/>
    <w:rsid w:val="00245774"/>
    <w:rsid w:val="00246043"/>
    <w:rsid w:val="00246298"/>
    <w:rsid w:val="00246BDF"/>
    <w:rsid w:val="00250A73"/>
    <w:rsid w:val="00250D8B"/>
    <w:rsid w:val="002515DB"/>
    <w:rsid w:val="00251D2A"/>
    <w:rsid w:val="00252169"/>
    <w:rsid w:val="00253356"/>
    <w:rsid w:val="00254103"/>
    <w:rsid w:val="00255056"/>
    <w:rsid w:val="002562D9"/>
    <w:rsid w:val="00256947"/>
    <w:rsid w:val="00256A6B"/>
    <w:rsid w:val="00256AD8"/>
    <w:rsid w:val="00256B22"/>
    <w:rsid w:val="00257252"/>
    <w:rsid w:val="002578CA"/>
    <w:rsid w:val="00257A3A"/>
    <w:rsid w:val="002603BC"/>
    <w:rsid w:val="002609DA"/>
    <w:rsid w:val="002610AF"/>
    <w:rsid w:val="002618F8"/>
    <w:rsid w:val="00261975"/>
    <w:rsid w:val="00261E63"/>
    <w:rsid w:val="002624E8"/>
    <w:rsid w:val="002625CB"/>
    <w:rsid w:val="00262CAC"/>
    <w:rsid w:val="002649C3"/>
    <w:rsid w:val="00264D5B"/>
    <w:rsid w:val="00264F9B"/>
    <w:rsid w:val="00265630"/>
    <w:rsid w:val="00265FB0"/>
    <w:rsid w:val="0026642E"/>
    <w:rsid w:val="00267FEF"/>
    <w:rsid w:val="002702B4"/>
    <w:rsid w:val="00270497"/>
    <w:rsid w:val="00270635"/>
    <w:rsid w:val="002715F5"/>
    <w:rsid w:val="00271E52"/>
    <w:rsid w:val="0027389C"/>
    <w:rsid w:val="002739A8"/>
    <w:rsid w:val="00274015"/>
    <w:rsid w:val="00274081"/>
    <w:rsid w:val="00274475"/>
    <w:rsid w:val="002745B5"/>
    <w:rsid w:val="00274A1C"/>
    <w:rsid w:val="00275D61"/>
    <w:rsid w:val="00275EA9"/>
    <w:rsid w:val="00276159"/>
    <w:rsid w:val="00277784"/>
    <w:rsid w:val="00280B4A"/>
    <w:rsid w:val="00281565"/>
    <w:rsid w:val="00281695"/>
    <w:rsid w:val="0028191A"/>
    <w:rsid w:val="00281DFB"/>
    <w:rsid w:val="00281E3A"/>
    <w:rsid w:val="0028274E"/>
    <w:rsid w:val="00282835"/>
    <w:rsid w:val="00282D03"/>
    <w:rsid w:val="00282F40"/>
    <w:rsid w:val="00282FB8"/>
    <w:rsid w:val="00283776"/>
    <w:rsid w:val="002839EF"/>
    <w:rsid w:val="00283B60"/>
    <w:rsid w:val="00284613"/>
    <w:rsid w:val="00284BAA"/>
    <w:rsid w:val="00284E79"/>
    <w:rsid w:val="0028608C"/>
    <w:rsid w:val="00286D6F"/>
    <w:rsid w:val="0028730B"/>
    <w:rsid w:val="00287910"/>
    <w:rsid w:val="002904AF"/>
    <w:rsid w:val="00292069"/>
    <w:rsid w:val="00292A3E"/>
    <w:rsid w:val="002932B2"/>
    <w:rsid w:val="00293CAB"/>
    <w:rsid w:val="002941DD"/>
    <w:rsid w:val="002962B3"/>
    <w:rsid w:val="00296E51"/>
    <w:rsid w:val="00297158"/>
    <w:rsid w:val="002972A5"/>
    <w:rsid w:val="002979EA"/>
    <w:rsid w:val="002A0814"/>
    <w:rsid w:val="002A08E9"/>
    <w:rsid w:val="002A1242"/>
    <w:rsid w:val="002A1CA1"/>
    <w:rsid w:val="002A1E55"/>
    <w:rsid w:val="002A2025"/>
    <w:rsid w:val="002A20F6"/>
    <w:rsid w:val="002A2E98"/>
    <w:rsid w:val="002A36C7"/>
    <w:rsid w:val="002A3D57"/>
    <w:rsid w:val="002A40E7"/>
    <w:rsid w:val="002A42A5"/>
    <w:rsid w:val="002A440E"/>
    <w:rsid w:val="002A456D"/>
    <w:rsid w:val="002A4A46"/>
    <w:rsid w:val="002A4EDB"/>
    <w:rsid w:val="002A542B"/>
    <w:rsid w:val="002A59C6"/>
    <w:rsid w:val="002A6B2B"/>
    <w:rsid w:val="002A7072"/>
    <w:rsid w:val="002A7402"/>
    <w:rsid w:val="002A787D"/>
    <w:rsid w:val="002B0307"/>
    <w:rsid w:val="002B099B"/>
    <w:rsid w:val="002B0F6C"/>
    <w:rsid w:val="002B1359"/>
    <w:rsid w:val="002B1ACA"/>
    <w:rsid w:val="002B28A9"/>
    <w:rsid w:val="002B2929"/>
    <w:rsid w:val="002B2A21"/>
    <w:rsid w:val="002B3C57"/>
    <w:rsid w:val="002B3CC6"/>
    <w:rsid w:val="002B4895"/>
    <w:rsid w:val="002B48A7"/>
    <w:rsid w:val="002B5EE6"/>
    <w:rsid w:val="002B6125"/>
    <w:rsid w:val="002B7002"/>
    <w:rsid w:val="002B71F6"/>
    <w:rsid w:val="002B7AD1"/>
    <w:rsid w:val="002C06B4"/>
    <w:rsid w:val="002C0B45"/>
    <w:rsid w:val="002C0DEC"/>
    <w:rsid w:val="002C1237"/>
    <w:rsid w:val="002C21A8"/>
    <w:rsid w:val="002C234A"/>
    <w:rsid w:val="002C294B"/>
    <w:rsid w:val="002C4DD6"/>
    <w:rsid w:val="002C5812"/>
    <w:rsid w:val="002C5DC2"/>
    <w:rsid w:val="002C6ECA"/>
    <w:rsid w:val="002C74A7"/>
    <w:rsid w:val="002C778B"/>
    <w:rsid w:val="002C7F84"/>
    <w:rsid w:val="002D048E"/>
    <w:rsid w:val="002D0C46"/>
    <w:rsid w:val="002D159E"/>
    <w:rsid w:val="002D2810"/>
    <w:rsid w:val="002D5E75"/>
    <w:rsid w:val="002D610C"/>
    <w:rsid w:val="002D6508"/>
    <w:rsid w:val="002D731C"/>
    <w:rsid w:val="002D795D"/>
    <w:rsid w:val="002D7C47"/>
    <w:rsid w:val="002E0D5D"/>
    <w:rsid w:val="002E101B"/>
    <w:rsid w:val="002E1083"/>
    <w:rsid w:val="002E1300"/>
    <w:rsid w:val="002E136D"/>
    <w:rsid w:val="002E2488"/>
    <w:rsid w:val="002E2F62"/>
    <w:rsid w:val="002E2F7C"/>
    <w:rsid w:val="002E38F1"/>
    <w:rsid w:val="002E3F41"/>
    <w:rsid w:val="002E43F4"/>
    <w:rsid w:val="002E479B"/>
    <w:rsid w:val="002E47A9"/>
    <w:rsid w:val="002E544D"/>
    <w:rsid w:val="002E5500"/>
    <w:rsid w:val="002E5ACC"/>
    <w:rsid w:val="002E66F6"/>
    <w:rsid w:val="002E6784"/>
    <w:rsid w:val="002E6C5C"/>
    <w:rsid w:val="002E6FC5"/>
    <w:rsid w:val="002E7433"/>
    <w:rsid w:val="002E793F"/>
    <w:rsid w:val="002E7BD6"/>
    <w:rsid w:val="002F05FD"/>
    <w:rsid w:val="002F0CE7"/>
    <w:rsid w:val="002F15E4"/>
    <w:rsid w:val="002F271C"/>
    <w:rsid w:val="002F2F05"/>
    <w:rsid w:val="002F44F1"/>
    <w:rsid w:val="002F4503"/>
    <w:rsid w:val="002F49E4"/>
    <w:rsid w:val="002F4D39"/>
    <w:rsid w:val="002F5D09"/>
    <w:rsid w:val="002F5FFA"/>
    <w:rsid w:val="002F6311"/>
    <w:rsid w:val="002F64C4"/>
    <w:rsid w:val="002F6869"/>
    <w:rsid w:val="002F68FD"/>
    <w:rsid w:val="002F734B"/>
    <w:rsid w:val="002F7552"/>
    <w:rsid w:val="003001F5"/>
    <w:rsid w:val="0030075C"/>
    <w:rsid w:val="00300A7A"/>
    <w:rsid w:val="0030116E"/>
    <w:rsid w:val="00301398"/>
    <w:rsid w:val="00301421"/>
    <w:rsid w:val="00301422"/>
    <w:rsid w:val="003019FC"/>
    <w:rsid w:val="00302211"/>
    <w:rsid w:val="003024E5"/>
    <w:rsid w:val="003024E9"/>
    <w:rsid w:val="0030262E"/>
    <w:rsid w:val="00302D12"/>
    <w:rsid w:val="00302F08"/>
    <w:rsid w:val="003038B5"/>
    <w:rsid w:val="003051BD"/>
    <w:rsid w:val="003051CE"/>
    <w:rsid w:val="00305244"/>
    <w:rsid w:val="003059C0"/>
    <w:rsid w:val="0030605B"/>
    <w:rsid w:val="0030619D"/>
    <w:rsid w:val="00306987"/>
    <w:rsid w:val="003070DB"/>
    <w:rsid w:val="003071E0"/>
    <w:rsid w:val="00307CB6"/>
    <w:rsid w:val="00310E07"/>
    <w:rsid w:val="00311426"/>
    <w:rsid w:val="00311735"/>
    <w:rsid w:val="00311776"/>
    <w:rsid w:val="00311834"/>
    <w:rsid w:val="00311BE0"/>
    <w:rsid w:val="00311FC7"/>
    <w:rsid w:val="003124B0"/>
    <w:rsid w:val="00313519"/>
    <w:rsid w:val="00314EED"/>
    <w:rsid w:val="0031597A"/>
    <w:rsid w:val="003160AE"/>
    <w:rsid w:val="003165D8"/>
    <w:rsid w:val="00316868"/>
    <w:rsid w:val="00316C2B"/>
    <w:rsid w:val="00316F2D"/>
    <w:rsid w:val="0031730D"/>
    <w:rsid w:val="00317860"/>
    <w:rsid w:val="00317977"/>
    <w:rsid w:val="00317BB3"/>
    <w:rsid w:val="00317BCD"/>
    <w:rsid w:val="00317F8F"/>
    <w:rsid w:val="0032060B"/>
    <w:rsid w:val="0032152F"/>
    <w:rsid w:val="003216CB"/>
    <w:rsid w:val="003218A6"/>
    <w:rsid w:val="00321DDD"/>
    <w:rsid w:val="00323016"/>
    <w:rsid w:val="00323828"/>
    <w:rsid w:val="00323A37"/>
    <w:rsid w:val="00323C9A"/>
    <w:rsid w:val="0032439C"/>
    <w:rsid w:val="00325027"/>
    <w:rsid w:val="0032550B"/>
    <w:rsid w:val="003256E6"/>
    <w:rsid w:val="00325DAC"/>
    <w:rsid w:val="003263B0"/>
    <w:rsid w:val="00326ED2"/>
    <w:rsid w:val="00327351"/>
    <w:rsid w:val="003276BC"/>
    <w:rsid w:val="00327C3F"/>
    <w:rsid w:val="0033116E"/>
    <w:rsid w:val="00332058"/>
    <w:rsid w:val="0033265B"/>
    <w:rsid w:val="00332673"/>
    <w:rsid w:val="00332DDF"/>
    <w:rsid w:val="0033335C"/>
    <w:rsid w:val="003345EF"/>
    <w:rsid w:val="003353C7"/>
    <w:rsid w:val="00335689"/>
    <w:rsid w:val="003357EB"/>
    <w:rsid w:val="00335A14"/>
    <w:rsid w:val="00335D7F"/>
    <w:rsid w:val="00336979"/>
    <w:rsid w:val="00336E1C"/>
    <w:rsid w:val="00337926"/>
    <w:rsid w:val="003400E0"/>
    <w:rsid w:val="0034076F"/>
    <w:rsid w:val="00340D73"/>
    <w:rsid w:val="00340E45"/>
    <w:rsid w:val="0034107B"/>
    <w:rsid w:val="00341814"/>
    <w:rsid w:val="00341D21"/>
    <w:rsid w:val="0034233C"/>
    <w:rsid w:val="00342D7B"/>
    <w:rsid w:val="00343BB2"/>
    <w:rsid w:val="00343F0E"/>
    <w:rsid w:val="003442D2"/>
    <w:rsid w:val="00344A25"/>
    <w:rsid w:val="003455F9"/>
    <w:rsid w:val="00345C33"/>
    <w:rsid w:val="00345D17"/>
    <w:rsid w:val="00346877"/>
    <w:rsid w:val="00346F17"/>
    <w:rsid w:val="00347174"/>
    <w:rsid w:val="003472B6"/>
    <w:rsid w:val="00347346"/>
    <w:rsid w:val="003479E8"/>
    <w:rsid w:val="00347FE0"/>
    <w:rsid w:val="00350043"/>
    <w:rsid w:val="00350260"/>
    <w:rsid w:val="00350FD8"/>
    <w:rsid w:val="003513F6"/>
    <w:rsid w:val="00351D1B"/>
    <w:rsid w:val="003521C7"/>
    <w:rsid w:val="003522F5"/>
    <w:rsid w:val="00352540"/>
    <w:rsid w:val="00353621"/>
    <w:rsid w:val="003538C1"/>
    <w:rsid w:val="00353919"/>
    <w:rsid w:val="003541E5"/>
    <w:rsid w:val="0035476F"/>
    <w:rsid w:val="0035501D"/>
    <w:rsid w:val="00355671"/>
    <w:rsid w:val="00355BEC"/>
    <w:rsid w:val="00356110"/>
    <w:rsid w:val="00356BEC"/>
    <w:rsid w:val="00356E5E"/>
    <w:rsid w:val="00357364"/>
    <w:rsid w:val="00357977"/>
    <w:rsid w:val="00357A4F"/>
    <w:rsid w:val="00360D50"/>
    <w:rsid w:val="00360F83"/>
    <w:rsid w:val="00361291"/>
    <w:rsid w:val="0036130B"/>
    <w:rsid w:val="00361737"/>
    <w:rsid w:val="003618E8"/>
    <w:rsid w:val="00362FCF"/>
    <w:rsid w:val="00363149"/>
    <w:rsid w:val="00363761"/>
    <w:rsid w:val="00363819"/>
    <w:rsid w:val="00363BBC"/>
    <w:rsid w:val="00364E96"/>
    <w:rsid w:val="003655C2"/>
    <w:rsid w:val="00365BF9"/>
    <w:rsid w:val="00366E7A"/>
    <w:rsid w:val="0036717E"/>
    <w:rsid w:val="00370104"/>
    <w:rsid w:val="00370634"/>
    <w:rsid w:val="00370667"/>
    <w:rsid w:val="003707A2"/>
    <w:rsid w:val="0037084D"/>
    <w:rsid w:val="00370D4C"/>
    <w:rsid w:val="0037157E"/>
    <w:rsid w:val="00372037"/>
    <w:rsid w:val="0037210B"/>
    <w:rsid w:val="00373102"/>
    <w:rsid w:val="003754DA"/>
    <w:rsid w:val="00375899"/>
    <w:rsid w:val="00377454"/>
    <w:rsid w:val="003774CB"/>
    <w:rsid w:val="00377872"/>
    <w:rsid w:val="0038044C"/>
    <w:rsid w:val="00380635"/>
    <w:rsid w:val="00380C1C"/>
    <w:rsid w:val="0038163B"/>
    <w:rsid w:val="0038195A"/>
    <w:rsid w:val="003823F5"/>
    <w:rsid w:val="003832D4"/>
    <w:rsid w:val="00383337"/>
    <w:rsid w:val="0038370F"/>
    <w:rsid w:val="00383964"/>
    <w:rsid w:val="00383F7A"/>
    <w:rsid w:val="003844A0"/>
    <w:rsid w:val="00384727"/>
    <w:rsid w:val="00384D54"/>
    <w:rsid w:val="003856B8"/>
    <w:rsid w:val="00385F5E"/>
    <w:rsid w:val="00386372"/>
    <w:rsid w:val="003900C7"/>
    <w:rsid w:val="003903C3"/>
    <w:rsid w:val="00390DA5"/>
    <w:rsid w:val="003911CA"/>
    <w:rsid w:val="00391489"/>
    <w:rsid w:val="003914D0"/>
    <w:rsid w:val="003925EC"/>
    <w:rsid w:val="0039281D"/>
    <w:rsid w:val="00392DA6"/>
    <w:rsid w:val="003933AF"/>
    <w:rsid w:val="003936F6"/>
    <w:rsid w:val="00393927"/>
    <w:rsid w:val="00393951"/>
    <w:rsid w:val="00393E57"/>
    <w:rsid w:val="0039410B"/>
    <w:rsid w:val="00394197"/>
    <w:rsid w:val="003944E6"/>
    <w:rsid w:val="00394759"/>
    <w:rsid w:val="00394E96"/>
    <w:rsid w:val="003965DE"/>
    <w:rsid w:val="00396F4A"/>
    <w:rsid w:val="00397CBC"/>
    <w:rsid w:val="00397CF8"/>
    <w:rsid w:val="003A0048"/>
    <w:rsid w:val="003A0979"/>
    <w:rsid w:val="003A27EA"/>
    <w:rsid w:val="003A2CD6"/>
    <w:rsid w:val="003A35D0"/>
    <w:rsid w:val="003A4007"/>
    <w:rsid w:val="003A4637"/>
    <w:rsid w:val="003A4DC2"/>
    <w:rsid w:val="003A50B7"/>
    <w:rsid w:val="003A5F3B"/>
    <w:rsid w:val="003A70C3"/>
    <w:rsid w:val="003B0D19"/>
    <w:rsid w:val="003B1C76"/>
    <w:rsid w:val="003B1D6A"/>
    <w:rsid w:val="003B243F"/>
    <w:rsid w:val="003B2478"/>
    <w:rsid w:val="003B2BB8"/>
    <w:rsid w:val="003B3557"/>
    <w:rsid w:val="003B3896"/>
    <w:rsid w:val="003B3BBE"/>
    <w:rsid w:val="003B60C7"/>
    <w:rsid w:val="003B64D1"/>
    <w:rsid w:val="003B7069"/>
    <w:rsid w:val="003B7132"/>
    <w:rsid w:val="003B71BC"/>
    <w:rsid w:val="003B71DD"/>
    <w:rsid w:val="003B7403"/>
    <w:rsid w:val="003B7424"/>
    <w:rsid w:val="003B7F7F"/>
    <w:rsid w:val="003C0C14"/>
    <w:rsid w:val="003C1268"/>
    <w:rsid w:val="003C29F5"/>
    <w:rsid w:val="003C2CE4"/>
    <w:rsid w:val="003C2F28"/>
    <w:rsid w:val="003C327C"/>
    <w:rsid w:val="003C40C5"/>
    <w:rsid w:val="003C497C"/>
    <w:rsid w:val="003C4AFD"/>
    <w:rsid w:val="003C52E0"/>
    <w:rsid w:val="003C5D1D"/>
    <w:rsid w:val="003C5D2C"/>
    <w:rsid w:val="003C5F4F"/>
    <w:rsid w:val="003C6210"/>
    <w:rsid w:val="003C7EE8"/>
    <w:rsid w:val="003D0BB8"/>
    <w:rsid w:val="003D1393"/>
    <w:rsid w:val="003D13E4"/>
    <w:rsid w:val="003D1670"/>
    <w:rsid w:val="003D1938"/>
    <w:rsid w:val="003D1ABF"/>
    <w:rsid w:val="003D1E04"/>
    <w:rsid w:val="003D27FF"/>
    <w:rsid w:val="003D2CDE"/>
    <w:rsid w:val="003D345B"/>
    <w:rsid w:val="003D34FF"/>
    <w:rsid w:val="003D3AF8"/>
    <w:rsid w:val="003D4748"/>
    <w:rsid w:val="003D49B3"/>
    <w:rsid w:val="003D4F79"/>
    <w:rsid w:val="003D626D"/>
    <w:rsid w:val="003D70E9"/>
    <w:rsid w:val="003D7441"/>
    <w:rsid w:val="003D748F"/>
    <w:rsid w:val="003D7E0C"/>
    <w:rsid w:val="003E03B4"/>
    <w:rsid w:val="003E04DC"/>
    <w:rsid w:val="003E0A57"/>
    <w:rsid w:val="003E0ED4"/>
    <w:rsid w:val="003E1430"/>
    <w:rsid w:val="003E1C32"/>
    <w:rsid w:val="003E1D1E"/>
    <w:rsid w:val="003E2B62"/>
    <w:rsid w:val="003E2E96"/>
    <w:rsid w:val="003E3CFD"/>
    <w:rsid w:val="003E3E9D"/>
    <w:rsid w:val="003E3F0C"/>
    <w:rsid w:val="003E4C68"/>
    <w:rsid w:val="003E4F61"/>
    <w:rsid w:val="003E52C9"/>
    <w:rsid w:val="003E597D"/>
    <w:rsid w:val="003E5A72"/>
    <w:rsid w:val="003E709A"/>
    <w:rsid w:val="003E7D07"/>
    <w:rsid w:val="003F004B"/>
    <w:rsid w:val="003F09A4"/>
    <w:rsid w:val="003F135F"/>
    <w:rsid w:val="003F18CA"/>
    <w:rsid w:val="003F1990"/>
    <w:rsid w:val="003F2967"/>
    <w:rsid w:val="003F2E54"/>
    <w:rsid w:val="003F2E75"/>
    <w:rsid w:val="003F3939"/>
    <w:rsid w:val="003F434E"/>
    <w:rsid w:val="003F48D8"/>
    <w:rsid w:val="003F510D"/>
    <w:rsid w:val="003F5C48"/>
    <w:rsid w:val="003F5DF0"/>
    <w:rsid w:val="003F6049"/>
    <w:rsid w:val="003F6206"/>
    <w:rsid w:val="003F6EF9"/>
    <w:rsid w:val="003F7137"/>
    <w:rsid w:val="003F7FDB"/>
    <w:rsid w:val="00400FD7"/>
    <w:rsid w:val="0040195B"/>
    <w:rsid w:val="00402D16"/>
    <w:rsid w:val="00403055"/>
    <w:rsid w:val="004037A4"/>
    <w:rsid w:val="004044C8"/>
    <w:rsid w:val="0040459E"/>
    <w:rsid w:val="004063D5"/>
    <w:rsid w:val="00406574"/>
    <w:rsid w:val="004069E6"/>
    <w:rsid w:val="00407502"/>
    <w:rsid w:val="00407A3C"/>
    <w:rsid w:val="00407AC4"/>
    <w:rsid w:val="004102BD"/>
    <w:rsid w:val="00410D4D"/>
    <w:rsid w:val="00411D79"/>
    <w:rsid w:val="00411FFA"/>
    <w:rsid w:val="004127D3"/>
    <w:rsid w:val="00412E48"/>
    <w:rsid w:val="00412F11"/>
    <w:rsid w:val="0041302F"/>
    <w:rsid w:val="00413723"/>
    <w:rsid w:val="00413A93"/>
    <w:rsid w:val="00415939"/>
    <w:rsid w:val="00415A8B"/>
    <w:rsid w:val="00415B6C"/>
    <w:rsid w:val="004177C3"/>
    <w:rsid w:val="00420AF9"/>
    <w:rsid w:val="00420C2E"/>
    <w:rsid w:val="00421829"/>
    <w:rsid w:val="00422287"/>
    <w:rsid w:val="00422599"/>
    <w:rsid w:val="00422DE5"/>
    <w:rsid w:val="00423AC5"/>
    <w:rsid w:val="00423C08"/>
    <w:rsid w:val="00423D06"/>
    <w:rsid w:val="004243F2"/>
    <w:rsid w:val="00424F5E"/>
    <w:rsid w:val="00425095"/>
    <w:rsid w:val="00425617"/>
    <w:rsid w:val="00426167"/>
    <w:rsid w:val="0042666E"/>
    <w:rsid w:val="00426717"/>
    <w:rsid w:val="0042676C"/>
    <w:rsid w:val="00426A7F"/>
    <w:rsid w:val="0042719A"/>
    <w:rsid w:val="004272D3"/>
    <w:rsid w:val="004274B7"/>
    <w:rsid w:val="00427B3A"/>
    <w:rsid w:val="004309EF"/>
    <w:rsid w:val="00431002"/>
    <w:rsid w:val="0043172A"/>
    <w:rsid w:val="00431C8E"/>
    <w:rsid w:val="004332B8"/>
    <w:rsid w:val="004347A8"/>
    <w:rsid w:val="004354E6"/>
    <w:rsid w:val="00435E61"/>
    <w:rsid w:val="00435F6C"/>
    <w:rsid w:val="00436DA5"/>
    <w:rsid w:val="004374E0"/>
    <w:rsid w:val="004376EC"/>
    <w:rsid w:val="00440740"/>
    <w:rsid w:val="00440AB2"/>
    <w:rsid w:val="00440CB8"/>
    <w:rsid w:val="0044332A"/>
    <w:rsid w:val="004440F2"/>
    <w:rsid w:val="004442B5"/>
    <w:rsid w:val="004445A5"/>
    <w:rsid w:val="0044479C"/>
    <w:rsid w:val="0044479E"/>
    <w:rsid w:val="00444CFB"/>
    <w:rsid w:val="0044554B"/>
    <w:rsid w:val="00445D29"/>
    <w:rsid w:val="00446639"/>
    <w:rsid w:val="0044748B"/>
    <w:rsid w:val="00447A4A"/>
    <w:rsid w:val="00447B24"/>
    <w:rsid w:val="00450536"/>
    <w:rsid w:val="00450B99"/>
    <w:rsid w:val="00450CBF"/>
    <w:rsid w:val="00450DE1"/>
    <w:rsid w:val="0045140F"/>
    <w:rsid w:val="00452075"/>
    <w:rsid w:val="00452132"/>
    <w:rsid w:val="00453362"/>
    <w:rsid w:val="00453895"/>
    <w:rsid w:val="00453C54"/>
    <w:rsid w:val="00453F60"/>
    <w:rsid w:val="00454076"/>
    <w:rsid w:val="004542CC"/>
    <w:rsid w:val="004548BD"/>
    <w:rsid w:val="00454C63"/>
    <w:rsid w:val="004554FD"/>
    <w:rsid w:val="00455DB8"/>
    <w:rsid w:val="00456472"/>
    <w:rsid w:val="0045687D"/>
    <w:rsid w:val="00457CE7"/>
    <w:rsid w:val="00460050"/>
    <w:rsid w:val="0046094A"/>
    <w:rsid w:val="00460A7C"/>
    <w:rsid w:val="00460C29"/>
    <w:rsid w:val="00460D17"/>
    <w:rsid w:val="004613AA"/>
    <w:rsid w:val="004613B5"/>
    <w:rsid w:val="00461FAE"/>
    <w:rsid w:val="00461FBA"/>
    <w:rsid w:val="00462A01"/>
    <w:rsid w:val="00462EB0"/>
    <w:rsid w:val="00463107"/>
    <w:rsid w:val="004632AF"/>
    <w:rsid w:val="004632BE"/>
    <w:rsid w:val="00463C3B"/>
    <w:rsid w:val="004651FD"/>
    <w:rsid w:val="004664C7"/>
    <w:rsid w:val="00467E3C"/>
    <w:rsid w:val="00470ACF"/>
    <w:rsid w:val="00471456"/>
    <w:rsid w:val="0047180D"/>
    <w:rsid w:val="0047244E"/>
    <w:rsid w:val="0047261D"/>
    <w:rsid w:val="00473234"/>
    <w:rsid w:val="00473A9E"/>
    <w:rsid w:val="00473B52"/>
    <w:rsid w:val="004745E4"/>
    <w:rsid w:val="004748B3"/>
    <w:rsid w:val="0047671A"/>
    <w:rsid w:val="00476D23"/>
    <w:rsid w:val="00477270"/>
    <w:rsid w:val="004808CC"/>
    <w:rsid w:val="00481889"/>
    <w:rsid w:val="004822CE"/>
    <w:rsid w:val="00483104"/>
    <w:rsid w:val="00485165"/>
    <w:rsid w:val="004852CA"/>
    <w:rsid w:val="004855C7"/>
    <w:rsid w:val="00485BE6"/>
    <w:rsid w:val="004864DB"/>
    <w:rsid w:val="00486B34"/>
    <w:rsid w:val="00486D37"/>
    <w:rsid w:val="00487136"/>
    <w:rsid w:val="0048735C"/>
    <w:rsid w:val="004906E1"/>
    <w:rsid w:val="00490CA3"/>
    <w:rsid w:val="00490DDE"/>
    <w:rsid w:val="0049151C"/>
    <w:rsid w:val="00491C1D"/>
    <w:rsid w:val="0049202B"/>
    <w:rsid w:val="00492719"/>
    <w:rsid w:val="00493167"/>
    <w:rsid w:val="00493825"/>
    <w:rsid w:val="00493DB8"/>
    <w:rsid w:val="00493E9C"/>
    <w:rsid w:val="00493FBE"/>
    <w:rsid w:val="00494B5E"/>
    <w:rsid w:val="00494CED"/>
    <w:rsid w:val="004955D4"/>
    <w:rsid w:val="00495E10"/>
    <w:rsid w:val="0049619E"/>
    <w:rsid w:val="00496370"/>
    <w:rsid w:val="004965F9"/>
    <w:rsid w:val="00496A0D"/>
    <w:rsid w:val="00496DB2"/>
    <w:rsid w:val="0049704F"/>
    <w:rsid w:val="00497AB8"/>
    <w:rsid w:val="004A0749"/>
    <w:rsid w:val="004A08EB"/>
    <w:rsid w:val="004A0A33"/>
    <w:rsid w:val="004A134A"/>
    <w:rsid w:val="004A2151"/>
    <w:rsid w:val="004A28C3"/>
    <w:rsid w:val="004A36DA"/>
    <w:rsid w:val="004A3F6F"/>
    <w:rsid w:val="004A41F1"/>
    <w:rsid w:val="004A44CA"/>
    <w:rsid w:val="004A48FE"/>
    <w:rsid w:val="004A4D49"/>
    <w:rsid w:val="004A4F14"/>
    <w:rsid w:val="004A5FC7"/>
    <w:rsid w:val="004A7431"/>
    <w:rsid w:val="004A774C"/>
    <w:rsid w:val="004B0074"/>
    <w:rsid w:val="004B15E9"/>
    <w:rsid w:val="004B1AA2"/>
    <w:rsid w:val="004B27DE"/>
    <w:rsid w:val="004B2E83"/>
    <w:rsid w:val="004B31D2"/>
    <w:rsid w:val="004B357D"/>
    <w:rsid w:val="004B3673"/>
    <w:rsid w:val="004B3B75"/>
    <w:rsid w:val="004B4E69"/>
    <w:rsid w:val="004B4EC8"/>
    <w:rsid w:val="004B54CA"/>
    <w:rsid w:val="004B7D78"/>
    <w:rsid w:val="004C07B9"/>
    <w:rsid w:val="004C10D7"/>
    <w:rsid w:val="004C2B8C"/>
    <w:rsid w:val="004C324D"/>
    <w:rsid w:val="004C3F53"/>
    <w:rsid w:val="004C4726"/>
    <w:rsid w:val="004C4ED4"/>
    <w:rsid w:val="004C641E"/>
    <w:rsid w:val="004C66FE"/>
    <w:rsid w:val="004C745D"/>
    <w:rsid w:val="004D006C"/>
    <w:rsid w:val="004D00E9"/>
    <w:rsid w:val="004D02BD"/>
    <w:rsid w:val="004D0B90"/>
    <w:rsid w:val="004D0FEB"/>
    <w:rsid w:val="004D1488"/>
    <w:rsid w:val="004D14E2"/>
    <w:rsid w:val="004D1A30"/>
    <w:rsid w:val="004D3BBE"/>
    <w:rsid w:val="004D3C67"/>
    <w:rsid w:val="004D5E02"/>
    <w:rsid w:val="004D703D"/>
    <w:rsid w:val="004D7354"/>
    <w:rsid w:val="004D7692"/>
    <w:rsid w:val="004D7882"/>
    <w:rsid w:val="004E0A09"/>
    <w:rsid w:val="004E174D"/>
    <w:rsid w:val="004E1EDF"/>
    <w:rsid w:val="004E2563"/>
    <w:rsid w:val="004E2793"/>
    <w:rsid w:val="004E3083"/>
    <w:rsid w:val="004E4190"/>
    <w:rsid w:val="004E4267"/>
    <w:rsid w:val="004E4885"/>
    <w:rsid w:val="004E504E"/>
    <w:rsid w:val="004E5ABD"/>
    <w:rsid w:val="004E5CBF"/>
    <w:rsid w:val="004E5E64"/>
    <w:rsid w:val="004E62E2"/>
    <w:rsid w:val="004E69C8"/>
    <w:rsid w:val="004E78DC"/>
    <w:rsid w:val="004E797F"/>
    <w:rsid w:val="004E7E92"/>
    <w:rsid w:val="004F009A"/>
    <w:rsid w:val="004F0EEF"/>
    <w:rsid w:val="004F1183"/>
    <w:rsid w:val="004F1B89"/>
    <w:rsid w:val="004F1CFB"/>
    <w:rsid w:val="004F30EF"/>
    <w:rsid w:val="004F3398"/>
    <w:rsid w:val="004F3CC5"/>
    <w:rsid w:val="004F41F1"/>
    <w:rsid w:val="004F42BD"/>
    <w:rsid w:val="004F492F"/>
    <w:rsid w:val="004F4F36"/>
    <w:rsid w:val="004F4F8A"/>
    <w:rsid w:val="004F52C3"/>
    <w:rsid w:val="004F54DA"/>
    <w:rsid w:val="004F5565"/>
    <w:rsid w:val="004F5D82"/>
    <w:rsid w:val="004F660F"/>
    <w:rsid w:val="004F675F"/>
    <w:rsid w:val="004F6A64"/>
    <w:rsid w:val="004F6A7E"/>
    <w:rsid w:val="004F6CCF"/>
    <w:rsid w:val="004F77F4"/>
    <w:rsid w:val="00500DBE"/>
    <w:rsid w:val="00501D5E"/>
    <w:rsid w:val="0050219B"/>
    <w:rsid w:val="00502246"/>
    <w:rsid w:val="005025E3"/>
    <w:rsid w:val="00503449"/>
    <w:rsid w:val="00505022"/>
    <w:rsid w:val="0050532A"/>
    <w:rsid w:val="00505464"/>
    <w:rsid w:val="00505DC4"/>
    <w:rsid w:val="00506904"/>
    <w:rsid w:val="00506C49"/>
    <w:rsid w:val="005071E8"/>
    <w:rsid w:val="005072B0"/>
    <w:rsid w:val="00507E13"/>
    <w:rsid w:val="005100B4"/>
    <w:rsid w:val="00510127"/>
    <w:rsid w:val="005106A0"/>
    <w:rsid w:val="0051089E"/>
    <w:rsid w:val="00510998"/>
    <w:rsid w:val="00510D14"/>
    <w:rsid w:val="00511227"/>
    <w:rsid w:val="00512727"/>
    <w:rsid w:val="005132EA"/>
    <w:rsid w:val="0051336E"/>
    <w:rsid w:val="005136B8"/>
    <w:rsid w:val="00513D2D"/>
    <w:rsid w:val="00514668"/>
    <w:rsid w:val="00514BDE"/>
    <w:rsid w:val="00515ED5"/>
    <w:rsid w:val="00516639"/>
    <w:rsid w:val="005166E8"/>
    <w:rsid w:val="00516949"/>
    <w:rsid w:val="00517AE4"/>
    <w:rsid w:val="005206B3"/>
    <w:rsid w:val="005209E7"/>
    <w:rsid w:val="00520BC8"/>
    <w:rsid w:val="00522CCD"/>
    <w:rsid w:val="00523622"/>
    <w:rsid w:val="00523FAA"/>
    <w:rsid w:val="005244AA"/>
    <w:rsid w:val="00525015"/>
    <w:rsid w:val="005253BC"/>
    <w:rsid w:val="005261E6"/>
    <w:rsid w:val="00526EE8"/>
    <w:rsid w:val="005272E2"/>
    <w:rsid w:val="0052771B"/>
    <w:rsid w:val="00527FDA"/>
    <w:rsid w:val="0053050E"/>
    <w:rsid w:val="0053055E"/>
    <w:rsid w:val="00530CDB"/>
    <w:rsid w:val="005312DA"/>
    <w:rsid w:val="005316C7"/>
    <w:rsid w:val="00531F0B"/>
    <w:rsid w:val="00532C1C"/>
    <w:rsid w:val="0053364D"/>
    <w:rsid w:val="0053369B"/>
    <w:rsid w:val="005337AA"/>
    <w:rsid w:val="00534116"/>
    <w:rsid w:val="0053460A"/>
    <w:rsid w:val="00534B6B"/>
    <w:rsid w:val="00534FB6"/>
    <w:rsid w:val="0053598B"/>
    <w:rsid w:val="00535AD9"/>
    <w:rsid w:val="0053696D"/>
    <w:rsid w:val="005373DB"/>
    <w:rsid w:val="00537D27"/>
    <w:rsid w:val="005406A6"/>
    <w:rsid w:val="0054082E"/>
    <w:rsid w:val="005413D4"/>
    <w:rsid w:val="00541A35"/>
    <w:rsid w:val="0054259B"/>
    <w:rsid w:val="0054291C"/>
    <w:rsid w:val="00544B06"/>
    <w:rsid w:val="00546193"/>
    <w:rsid w:val="0054713E"/>
    <w:rsid w:val="0054765C"/>
    <w:rsid w:val="00547B66"/>
    <w:rsid w:val="00547C1B"/>
    <w:rsid w:val="00547FFE"/>
    <w:rsid w:val="00550140"/>
    <w:rsid w:val="005501CF"/>
    <w:rsid w:val="0055110B"/>
    <w:rsid w:val="005512C1"/>
    <w:rsid w:val="00551B8E"/>
    <w:rsid w:val="00551D2B"/>
    <w:rsid w:val="0055253A"/>
    <w:rsid w:val="0055276A"/>
    <w:rsid w:val="00552D56"/>
    <w:rsid w:val="0055387A"/>
    <w:rsid w:val="005540B9"/>
    <w:rsid w:val="005543A8"/>
    <w:rsid w:val="005552C1"/>
    <w:rsid w:val="00555C4C"/>
    <w:rsid w:val="0055780A"/>
    <w:rsid w:val="005608F5"/>
    <w:rsid w:val="0056143A"/>
    <w:rsid w:val="005622E5"/>
    <w:rsid w:val="00562C67"/>
    <w:rsid w:val="00563483"/>
    <w:rsid w:val="00564865"/>
    <w:rsid w:val="005649C5"/>
    <w:rsid w:val="00565001"/>
    <w:rsid w:val="00565650"/>
    <w:rsid w:val="00565CE7"/>
    <w:rsid w:val="00566AFA"/>
    <w:rsid w:val="00567053"/>
    <w:rsid w:val="00567366"/>
    <w:rsid w:val="00570E8A"/>
    <w:rsid w:val="00571043"/>
    <w:rsid w:val="005718BF"/>
    <w:rsid w:val="00572107"/>
    <w:rsid w:val="00572F49"/>
    <w:rsid w:val="005732D9"/>
    <w:rsid w:val="00573840"/>
    <w:rsid w:val="00575006"/>
    <w:rsid w:val="0057692E"/>
    <w:rsid w:val="00577283"/>
    <w:rsid w:val="00577324"/>
    <w:rsid w:val="00577892"/>
    <w:rsid w:val="00577C61"/>
    <w:rsid w:val="00580488"/>
    <w:rsid w:val="00581409"/>
    <w:rsid w:val="00581D48"/>
    <w:rsid w:val="00582A8A"/>
    <w:rsid w:val="00583262"/>
    <w:rsid w:val="00583281"/>
    <w:rsid w:val="005842B4"/>
    <w:rsid w:val="00584C23"/>
    <w:rsid w:val="00584FC1"/>
    <w:rsid w:val="00586246"/>
    <w:rsid w:val="0058710B"/>
    <w:rsid w:val="005877DC"/>
    <w:rsid w:val="00587A05"/>
    <w:rsid w:val="005905C6"/>
    <w:rsid w:val="00590630"/>
    <w:rsid w:val="00591611"/>
    <w:rsid w:val="0059194B"/>
    <w:rsid w:val="00591DC6"/>
    <w:rsid w:val="005927AD"/>
    <w:rsid w:val="00592D84"/>
    <w:rsid w:val="005930E2"/>
    <w:rsid w:val="00593223"/>
    <w:rsid w:val="00595795"/>
    <w:rsid w:val="00595E1A"/>
    <w:rsid w:val="0059685B"/>
    <w:rsid w:val="005969BB"/>
    <w:rsid w:val="00597161"/>
    <w:rsid w:val="00597216"/>
    <w:rsid w:val="0059770C"/>
    <w:rsid w:val="00597852"/>
    <w:rsid w:val="0059795C"/>
    <w:rsid w:val="00597DA0"/>
    <w:rsid w:val="00597F09"/>
    <w:rsid w:val="005A0C3B"/>
    <w:rsid w:val="005A0CDC"/>
    <w:rsid w:val="005A0D16"/>
    <w:rsid w:val="005A16B1"/>
    <w:rsid w:val="005A1BD2"/>
    <w:rsid w:val="005A3484"/>
    <w:rsid w:val="005A42FC"/>
    <w:rsid w:val="005A525A"/>
    <w:rsid w:val="005A5551"/>
    <w:rsid w:val="005A5C48"/>
    <w:rsid w:val="005A7CB5"/>
    <w:rsid w:val="005B06DE"/>
    <w:rsid w:val="005B08F2"/>
    <w:rsid w:val="005B0DA0"/>
    <w:rsid w:val="005B1C93"/>
    <w:rsid w:val="005B2053"/>
    <w:rsid w:val="005B2071"/>
    <w:rsid w:val="005B25A6"/>
    <w:rsid w:val="005B2F9C"/>
    <w:rsid w:val="005B3B44"/>
    <w:rsid w:val="005B3DDE"/>
    <w:rsid w:val="005B5140"/>
    <w:rsid w:val="005B5A50"/>
    <w:rsid w:val="005B6108"/>
    <w:rsid w:val="005C0435"/>
    <w:rsid w:val="005C0AA6"/>
    <w:rsid w:val="005C0D3C"/>
    <w:rsid w:val="005C1423"/>
    <w:rsid w:val="005C1B80"/>
    <w:rsid w:val="005C1C80"/>
    <w:rsid w:val="005C2778"/>
    <w:rsid w:val="005C2B1D"/>
    <w:rsid w:val="005C30ED"/>
    <w:rsid w:val="005C313E"/>
    <w:rsid w:val="005C3AA9"/>
    <w:rsid w:val="005C3CA1"/>
    <w:rsid w:val="005C3F38"/>
    <w:rsid w:val="005C5093"/>
    <w:rsid w:val="005C53D2"/>
    <w:rsid w:val="005C586B"/>
    <w:rsid w:val="005C60B6"/>
    <w:rsid w:val="005C63E8"/>
    <w:rsid w:val="005C6405"/>
    <w:rsid w:val="005C6781"/>
    <w:rsid w:val="005C73DE"/>
    <w:rsid w:val="005C73E1"/>
    <w:rsid w:val="005C7408"/>
    <w:rsid w:val="005C7722"/>
    <w:rsid w:val="005C7B7C"/>
    <w:rsid w:val="005C7C82"/>
    <w:rsid w:val="005C7E28"/>
    <w:rsid w:val="005D0A71"/>
    <w:rsid w:val="005D2064"/>
    <w:rsid w:val="005D27F1"/>
    <w:rsid w:val="005D280D"/>
    <w:rsid w:val="005D28CF"/>
    <w:rsid w:val="005D318E"/>
    <w:rsid w:val="005D480D"/>
    <w:rsid w:val="005D53F8"/>
    <w:rsid w:val="005D6069"/>
    <w:rsid w:val="005D655B"/>
    <w:rsid w:val="005D6930"/>
    <w:rsid w:val="005D789D"/>
    <w:rsid w:val="005E02C6"/>
    <w:rsid w:val="005E12A5"/>
    <w:rsid w:val="005E1BFB"/>
    <w:rsid w:val="005E2093"/>
    <w:rsid w:val="005E241D"/>
    <w:rsid w:val="005E3F8A"/>
    <w:rsid w:val="005E4252"/>
    <w:rsid w:val="005E48E9"/>
    <w:rsid w:val="005E4B4F"/>
    <w:rsid w:val="005E4BD8"/>
    <w:rsid w:val="005E4BF8"/>
    <w:rsid w:val="005E4CC7"/>
    <w:rsid w:val="005E57D0"/>
    <w:rsid w:val="005E587A"/>
    <w:rsid w:val="005E5B9B"/>
    <w:rsid w:val="005E61BE"/>
    <w:rsid w:val="005E7B10"/>
    <w:rsid w:val="005F0103"/>
    <w:rsid w:val="005F1981"/>
    <w:rsid w:val="005F1F1E"/>
    <w:rsid w:val="005F1F40"/>
    <w:rsid w:val="005F2041"/>
    <w:rsid w:val="005F2C8E"/>
    <w:rsid w:val="005F2D46"/>
    <w:rsid w:val="005F322C"/>
    <w:rsid w:val="005F3359"/>
    <w:rsid w:val="005F3981"/>
    <w:rsid w:val="005F3A8E"/>
    <w:rsid w:val="005F3F08"/>
    <w:rsid w:val="005F41ED"/>
    <w:rsid w:val="005F4D3D"/>
    <w:rsid w:val="005F5EB0"/>
    <w:rsid w:val="005F61AE"/>
    <w:rsid w:val="005F63C3"/>
    <w:rsid w:val="005F65EF"/>
    <w:rsid w:val="005F6E2F"/>
    <w:rsid w:val="005F7435"/>
    <w:rsid w:val="005F7846"/>
    <w:rsid w:val="005F7950"/>
    <w:rsid w:val="005F7A23"/>
    <w:rsid w:val="005F7C0A"/>
    <w:rsid w:val="005F7EC4"/>
    <w:rsid w:val="005F7EFC"/>
    <w:rsid w:val="00600105"/>
    <w:rsid w:val="006004AD"/>
    <w:rsid w:val="00600FA2"/>
    <w:rsid w:val="00601246"/>
    <w:rsid w:val="00601B31"/>
    <w:rsid w:val="006029C2"/>
    <w:rsid w:val="00602B7A"/>
    <w:rsid w:val="006042B9"/>
    <w:rsid w:val="00604376"/>
    <w:rsid w:val="006047BD"/>
    <w:rsid w:val="0060485B"/>
    <w:rsid w:val="00605603"/>
    <w:rsid w:val="006060EE"/>
    <w:rsid w:val="0060617B"/>
    <w:rsid w:val="0060670D"/>
    <w:rsid w:val="00606B2F"/>
    <w:rsid w:val="00606C08"/>
    <w:rsid w:val="00607213"/>
    <w:rsid w:val="00607A85"/>
    <w:rsid w:val="00610105"/>
    <w:rsid w:val="006106F3"/>
    <w:rsid w:val="006109F4"/>
    <w:rsid w:val="00611556"/>
    <w:rsid w:val="00612372"/>
    <w:rsid w:val="00612C73"/>
    <w:rsid w:val="00613384"/>
    <w:rsid w:val="0061364F"/>
    <w:rsid w:val="00614A22"/>
    <w:rsid w:val="0061656D"/>
    <w:rsid w:val="006166C8"/>
    <w:rsid w:val="00616DD7"/>
    <w:rsid w:val="0062033A"/>
    <w:rsid w:val="00623ACE"/>
    <w:rsid w:val="00623DA7"/>
    <w:rsid w:val="00624397"/>
    <w:rsid w:val="00624731"/>
    <w:rsid w:val="0062588B"/>
    <w:rsid w:val="00626FB7"/>
    <w:rsid w:val="0062711E"/>
    <w:rsid w:val="00627575"/>
    <w:rsid w:val="00627F24"/>
    <w:rsid w:val="00630012"/>
    <w:rsid w:val="00630335"/>
    <w:rsid w:val="00631240"/>
    <w:rsid w:val="00631A2C"/>
    <w:rsid w:val="00631C1A"/>
    <w:rsid w:val="0063203B"/>
    <w:rsid w:val="00632677"/>
    <w:rsid w:val="0063296F"/>
    <w:rsid w:val="00632AC6"/>
    <w:rsid w:val="006333BA"/>
    <w:rsid w:val="00633AA7"/>
    <w:rsid w:val="0063413D"/>
    <w:rsid w:val="006347AE"/>
    <w:rsid w:val="00634852"/>
    <w:rsid w:val="00634D35"/>
    <w:rsid w:val="0063592B"/>
    <w:rsid w:val="00635ACB"/>
    <w:rsid w:val="00635B9F"/>
    <w:rsid w:val="00635F4B"/>
    <w:rsid w:val="00636309"/>
    <w:rsid w:val="00636FEF"/>
    <w:rsid w:val="0063701E"/>
    <w:rsid w:val="00637438"/>
    <w:rsid w:val="0063791D"/>
    <w:rsid w:val="006379B2"/>
    <w:rsid w:val="006401A9"/>
    <w:rsid w:val="00640B92"/>
    <w:rsid w:val="00641201"/>
    <w:rsid w:val="0064184F"/>
    <w:rsid w:val="00642BF2"/>
    <w:rsid w:val="006431A2"/>
    <w:rsid w:val="006432EB"/>
    <w:rsid w:val="00643E7D"/>
    <w:rsid w:val="006445A4"/>
    <w:rsid w:val="0064482A"/>
    <w:rsid w:val="00644D63"/>
    <w:rsid w:val="006463BE"/>
    <w:rsid w:val="00646C0E"/>
    <w:rsid w:val="00646DF5"/>
    <w:rsid w:val="006471E4"/>
    <w:rsid w:val="006475B0"/>
    <w:rsid w:val="00647793"/>
    <w:rsid w:val="00647DC9"/>
    <w:rsid w:val="00647FEB"/>
    <w:rsid w:val="006512D9"/>
    <w:rsid w:val="0065188A"/>
    <w:rsid w:val="00651E9E"/>
    <w:rsid w:val="00651F39"/>
    <w:rsid w:val="00652536"/>
    <w:rsid w:val="006531E3"/>
    <w:rsid w:val="00653231"/>
    <w:rsid w:val="006536FC"/>
    <w:rsid w:val="0065375E"/>
    <w:rsid w:val="00653775"/>
    <w:rsid w:val="00654582"/>
    <w:rsid w:val="00654D61"/>
    <w:rsid w:val="00654E1C"/>
    <w:rsid w:val="006551FF"/>
    <w:rsid w:val="00655E18"/>
    <w:rsid w:val="00656A0A"/>
    <w:rsid w:val="00657F70"/>
    <w:rsid w:val="00660005"/>
    <w:rsid w:val="00660CA2"/>
    <w:rsid w:val="00660F67"/>
    <w:rsid w:val="006610D8"/>
    <w:rsid w:val="0066131F"/>
    <w:rsid w:val="006613B4"/>
    <w:rsid w:val="00661A63"/>
    <w:rsid w:val="00661E38"/>
    <w:rsid w:val="006620A5"/>
    <w:rsid w:val="00663769"/>
    <w:rsid w:val="006642EA"/>
    <w:rsid w:val="00664695"/>
    <w:rsid w:val="00664976"/>
    <w:rsid w:val="00665AEA"/>
    <w:rsid w:val="006667E9"/>
    <w:rsid w:val="00666AAD"/>
    <w:rsid w:val="00666DFA"/>
    <w:rsid w:val="00666E49"/>
    <w:rsid w:val="00666ECA"/>
    <w:rsid w:val="00667560"/>
    <w:rsid w:val="006714B8"/>
    <w:rsid w:val="00671D6C"/>
    <w:rsid w:val="00672550"/>
    <w:rsid w:val="00672991"/>
    <w:rsid w:val="00672A5D"/>
    <w:rsid w:val="006730F9"/>
    <w:rsid w:val="00673F9F"/>
    <w:rsid w:val="0067470E"/>
    <w:rsid w:val="0067479D"/>
    <w:rsid w:val="0067493B"/>
    <w:rsid w:val="00675018"/>
    <w:rsid w:val="0067575B"/>
    <w:rsid w:val="006774CA"/>
    <w:rsid w:val="006800DF"/>
    <w:rsid w:val="00680EA2"/>
    <w:rsid w:val="006811B4"/>
    <w:rsid w:val="00681319"/>
    <w:rsid w:val="006817AE"/>
    <w:rsid w:val="00683A36"/>
    <w:rsid w:val="006850D8"/>
    <w:rsid w:val="00685266"/>
    <w:rsid w:val="006856FF"/>
    <w:rsid w:val="00686590"/>
    <w:rsid w:val="00686716"/>
    <w:rsid w:val="00687118"/>
    <w:rsid w:val="00687617"/>
    <w:rsid w:val="00687FEE"/>
    <w:rsid w:val="0069432F"/>
    <w:rsid w:val="00694958"/>
    <w:rsid w:val="00695350"/>
    <w:rsid w:val="00695AE3"/>
    <w:rsid w:val="006974EE"/>
    <w:rsid w:val="00697B7A"/>
    <w:rsid w:val="006A0153"/>
    <w:rsid w:val="006A019D"/>
    <w:rsid w:val="006A085E"/>
    <w:rsid w:val="006A1180"/>
    <w:rsid w:val="006A11A0"/>
    <w:rsid w:val="006A2FD7"/>
    <w:rsid w:val="006A454C"/>
    <w:rsid w:val="006A4CE7"/>
    <w:rsid w:val="006A4D22"/>
    <w:rsid w:val="006A5210"/>
    <w:rsid w:val="006A524E"/>
    <w:rsid w:val="006A52CC"/>
    <w:rsid w:val="006A5E35"/>
    <w:rsid w:val="006A6059"/>
    <w:rsid w:val="006A6B77"/>
    <w:rsid w:val="006A7100"/>
    <w:rsid w:val="006A71B8"/>
    <w:rsid w:val="006A7671"/>
    <w:rsid w:val="006A7DD3"/>
    <w:rsid w:val="006A7EF4"/>
    <w:rsid w:val="006B005D"/>
    <w:rsid w:val="006B02AD"/>
    <w:rsid w:val="006B090A"/>
    <w:rsid w:val="006B0BC2"/>
    <w:rsid w:val="006B112D"/>
    <w:rsid w:val="006B13CB"/>
    <w:rsid w:val="006B2D84"/>
    <w:rsid w:val="006B3216"/>
    <w:rsid w:val="006B3FFE"/>
    <w:rsid w:val="006B46AE"/>
    <w:rsid w:val="006B4749"/>
    <w:rsid w:val="006B5A22"/>
    <w:rsid w:val="006B5BD5"/>
    <w:rsid w:val="006B5F7C"/>
    <w:rsid w:val="006B601F"/>
    <w:rsid w:val="006B61E2"/>
    <w:rsid w:val="006B63C3"/>
    <w:rsid w:val="006B6712"/>
    <w:rsid w:val="006B68A3"/>
    <w:rsid w:val="006B77BA"/>
    <w:rsid w:val="006C0132"/>
    <w:rsid w:val="006C06D3"/>
    <w:rsid w:val="006C07DC"/>
    <w:rsid w:val="006C0E97"/>
    <w:rsid w:val="006C140B"/>
    <w:rsid w:val="006C1F56"/>
    <w:rsid w:val="006C20EF"/>
    <w:rsid w:val="006C2EA7"/>
    <w:rsid w:val="006C32E2"/>
    <w:rsid w:val="006C36FF"/>
    <w:rsid w:val="006C399F"/>
    <w:rsid w:val="006C4064"/>
    <w:rsid w:val="006C4663"/>
    <w:rsid w:val="006C4E1E"/>
    <w:rsid w:val="006C5AD5"/>
    <w:rsid w:val="006C60E1"/>
    <w:rsid w:val="006C6878"/>
    <w:rsid w:val="006C7194"/>
    <w:rsid w:val="006C72C2"/>
    <w:rsid w:val="006C7404"/>
    <w:rsid w:val="006C7743"/>
    <w:rsid w:val="006D0AD5"/>
    <w:rsid w:val="006D134C"/>
    <w:rsid w:val="006D1A95"/>
    <w:rsid w:val="006D2070"/>
    <w:rsid w:val="006D2DA3"/>
    <w:rsid w:val="006D2F12"/>
    <w:rsid w:val="006D306A"/>
    <w:rsid w:val="006D3126"/>
    <w:rsid w:val="006D37B3"/>
    <w:rsid w:val="006D3827"/>
    <w:rsid w:val="006D3A63"/>
    <w:rsid w:val="006D3D7F"/>
    <w:rsid w:val="006D3DCF"/>
    <w:rsid w:val="006D4E77"/>
    <w:rsid w:val="006D5523"/>
    <w:rsid w:val="006D562C"/>
    <w:rsid w:val="006D56A9"/>
    <w:rsid w:val="006D5C23"/>
    <w:rsid w:val="006D622A"/>
    <w:rsid w:val="006D7132"/>
    <w:rsid w:val="006D7250"/>
    <w:rsid w:val="006D7BE5"/>
    <w:rsid w:val="006D7F30"/>
    <w:rsid w:val="006E03F9"/>
    <w:rsid w:val="006E1435"/>
    <w:rsid w:val="006E1494"/>
    <w:rsid w:val="006E21A4"/>
    <w:rsid w:val="006E2461"/>
    <w:rsid w:val="006E2ACE"/>
    <w:rsid w:val="006E3AE0"/>
    <w:rsid w:val="006E418F"/>
    <w:rsid w:val="006E4232"/>
    <w:rsid w:val="006E5880"/>
    <w:rsid w:val="006E5E5C"/>
    <w:rsid w:val="006E61E8"/>
    <w:rsid w:val="006E6F16"/>
    <w:rsid w:val="006E7544"/>
    <w:rsid w:val="006E75ED"/>
    <w:rsid w:val="006E7DEE"/>
    <w:rsid w:val="006F01A5"/>
    <w:rsid w:val="006F104B"/>
    <w:rsid w:val="006F1251"/>
    <w:rsid w:val="006F1ACD"/>
    <w:rsid w:val="006F1E83"/>
    <w:rsid w:val="006F20B5"/>
    <w:rsid w:val="006F2DC0"/>
    <w:rsid w:val="006F30CD"/>
    <w:rsid w:val="006F393D"/>
    <w:rsid w:val="006F3D9C"/>
    <w:rsid w:val="006F4B3E"/>
    <w:rsid w:val="006F658A"/>
    <w:rsid w:val="006F6712"/>
    <w:rsid w:val="006F6B51"/>
    <w:rsid w:val="006F796C"/>
    <w:rsid w:val="00700117"/>
    <w:rsid w:val="0070016E"/>
    <w:rsid w:val="0070057F"/>
    <w:rsid w:val="00701A46"/>
    <w:rsid w:val="00702446"/>
    <w:rsid w:val="007027CB"/>
    <w:rsid w:val="00702D38"/>
    <w:rsid w:val="007030BD"/>
    <w:rsid w:val="0070350B"/>
    <w:rsid w:val="00703E76"/>
    <w:rsid w:val="00703E7E"/>
    <w:rsid w:val="00704820"/>
    <w:rsid w:val="00704AC8"/>
    <w:rsid w:val="007052DD"/>
    <w:rsid w:val="007065F3"/>
    <w:rsid w:val="0070678A"/>
    <w:rsid w:val="00707D6A"/>
    <w:rsid w:val="007116F1"/>
    <w:rsid w:val="00712671"/>
    <w:rsid w:val="00713233"/>
    <w:rsid w:val="0071339D"/>
    <w:rsid w:val="00713960"/>
    <w:rsid w:val="00713C69"/>
    <w:rsid w:val="007140AA"/>
    <w:rsid w:val="00714D83"/>
    <w:rsid w:val="007165D6"/>
    <w:rsid w:val="0071681B"/>
    <w:rsid w:val="00716F69"/>
    <w:rsid w:val="00717263"/>
    <w:rsid w:val="007173FC"/>
    <w:rsid w:val="00717F51"/>
    <w:rsid w:val="0072031B"/>
    <w:rsid w:val="007204A8"/>
    <w:rsid w:val="00720D65"/>
    <w:rsid w:val="007216A4"/>
    <w:rsid w:val="00722486"/>
    <w:rsid w:val="00723678"/>
    <w:rsid w:val="00723CDD"/>
    <w:rsid w:val="0072493F"/>
    <w:rsid w:val="00727DCE"/>
    <w:rsid w:val="007302E0"/>
    <w:rsid w:val="00731207"/>
    <w:rsid w:val="00731211"/>
    <w:rsid w:val="0073129A"/>
    <w:rsid w:val="00731B79"/>
    <w:rsid w:val="0073320E"/>
    <w:rsid w:val="00733268"/>
    <w:rsid w:val="0073340B"/>
    <w:rsid w:val="00733C79"/>
    <w:rsid w:val="00733DFF"/>
    <w:rsid w:val="00733F9D"/>
    <w:rsid w:val="00735189"/>
    <w:rsid w:val="00735B24"/>
    <w:rsid w:val="00735C0B"/>
    <w:rsid w:val="00735EFB"/>
    <w:rsid w:val="00735FA1"/>
    <w:rsid w:val="007370E5"/>
    <w:rsid w:val="00737AE7"/>
    <w:rsid w:val="00737B31"/>
    <w:rsid w:val="00740527"/>
    <w:rsid w:val="007412A5"/>
    <w:rsid w:val="007416C8"/>
    <w:rsid w:val="00742358"/>
    <w:rsid w:val="00742B33"/>
    <w:rsid w:val="00742B3F"/>
    <w:rsid w:val="00742FA3"/>
    <w:rsid w:val="007431AC"/>
    <w:rsid w:val="00743DFE"/>
    <w:rsid w:val="0074425B"/>
    <w:rsid w:val="007450F0"/>
    <w:rsid w:val="00745A3A"/>
    <w:rsid w:val="00745DAC"/>
    <w:rsid w:val="00745FB3"/>
    <w:rsid w:val="00746CE4"/>
    <w:rsid w:val="00746E8C"/>
    <w:rsid w:val="0074794B"/>
    <w:rsid w:val="0075048D"/>
    <w:rsid w:val="00750CD6"/>
    <w:rsid w:val="0075179A"/>
    <w:rsid w:val="00751AD2"/>
    <w:rsid w:val="007522CF"/>
    <w:rsid w:val="007523F2"/>
    <w:rsid w:val="00752683"/>
    <w:rsid w:val="0075283D"/>
    <w:rsid w:val="00752A92"/>
    <w:rsid w:val="00753FC0"/>
    <w:rsid w:val="00754401"/>
    <w:rsid w:val="0075491A"/>
    <w:rsid w:val="00754F17"/>
    <w:rsid w:val="00755258"/>
    <w:rsid w:val="00755F65"/>
    <w:rsid w:val="0075634F"/>
    <w:rsid w:val="00756428"/>
    <w:rsid w:val="00757F9F"/>
    <w:rsid w:val="0076007D"/>
    <w:rsid w:val="00760646"/>
    <w:rsid w:val="007606E2"/>
    <w:rsid w:val="00760FC1"/>
    <w:rsid w:val="00762AF8"/>
    <w:rsid w:val="00762FE2"/>
    <w:rsid w:val="007638D2"/>
    <w:rsid w:val="00763BB9"/>
    <w:rsid w:val="00763C67"/>
    <w:rsid w:val="00764CFC"/>
    <w:rsid w:val="007650C7"/>
    <w:rsid w:val="00765430"/>
    <w:rsid w:val="00765CD4"/>
    <w:rsid w:val="00765EE3"/>
    <w:rsid w:val="0076627A"/>
    <w:rsid w:val="007668D6"/>
    <w:rsid w:val="00766E19"/>
    <w:rsid w:val="00767473"/>
    <w:rsid w:val="007676D3"/>
    <w:rsid w:val="007708B9"/>
    <w:rsid w:val="0077096F"/>
    <w:rsid w:val="00771A30"/>
    <w:rsid w:val="00771F15"/>
    <w:rsid w:val="00772955"/>
    <w:rsid w:val="00772976"/>
    <w:rsid w:val="007731AE"/>
    <w:rsid w:val="007740E2"/>
    <w:rsid w:val="0077480C"/>
    <w:rsid w:val="00774844"/>
    <w:rsid w:val="007758B6"/>
    <w:rsid w:val="00776BA2"/>
    <w:rsid w:val="00776FEC"/>
    <w:rsid w:val="007772C5"/>
    <w:rsid w:val="00777B82"/>
    <w:rsid w:val="00777ED3"/>
    <w:rsid w:val="0078055C"/>
    <w:rsid w:val="007809A9"/>
    <w:rsid w:val="0078156E"/>
    <w:rsid w:val="0078176B"/>
    <w:rsid w:val="00782783"/>
    <w:rsid w:val="0078362E"/>
    <w:rsid w:val="00783A24"/>
    <w:rsid w:val="00783A30"/>
    <w:rsid w:val="007845D2"/>
    <w:rsid w:val="00784BA9"/>
    <w:rsid w:val="00785261"/>
    <w:rsid w:val="0078572E"/>
    <w:rsid w:val="00785887"/>
    <w:rsid w:val="00785DD0"/>
    <w:rsid w:val="00791037"/>
    <w:rsid w:val="00791439"/>
    <w:rsid w:val="00792557"/>
    <w:rsid w:val="0079270D"/>
    <w:rsid w:val="0079276F"/>
    <w:rsid w:val="007927D0"/>
    <w:rsid w:val="00792BB5"/>
    <w:rsid w:val="00792CA2"/>
    <w:rsid w:val="00793633"/>
    <w:rsid w:val="00793788"/>
    <w:rsid w:val="00793823"/>
    <w:rsid w:val="00793C29"/>
    <w:rsid w:val="00793DEC"/>
    <w:rsid w:val="00794479"/>
    <w:rsid w:val="007948B7"/>
    <w:rsid w:val="00794D96"/>
    <w:rsid w:val="00795067"/>
    <w:rsid w:val="00795745"/>
    <w:rsid w:val="00795C9D"/>
    <w:rsid w:val="00795CEA"/>
    <w:rsid w:val="0079629F"/>
    <w:rsid w:val="00796767"/>
    <w:rsid w:val="00796D85"/>
    <w:rsid w:val="007A0A98"/>
    <w:rsid w:val="007A0DBB"/>
    <w:rsid w:val="007A11C5"/>
    <w:rsid w:val="007A1664"/>
    <w:rsid w:val="007A197C"/>
    <w:rsid w:val="007A2BDF"/>
    <w:rsid w:val="007A3568"/>
    <w:rsid w:val="007A356C"/>
    <w:rsid w:val="007A35E1"/>
    <w:rsid w:val="007A3AC0"/>
    <w:rsid w:val="007A3ED8"/>
    <w:rsid w:val="007A43CC"/>
    <w:rsid w:val="007A49D8"/>
    <w:rsid w:val="007A4AE6"/>
    <w:rsid w:val="007A4C40"/>
    <w:rsid w:val="007A52D8"/>
    <w:rsid w:val="007A5BC7"/>
    <w:rsid w:val="007A6016"/>
    <w:rsid w:val="007A6032"/>
    <w:rsid w:val="007A716F"/>
    <w:rsid w:val="007A7E33"/>
    <w:rsid w:val="007B0256"/>
    <w:rsid w:val="007B0367"/>
    <w:rsid w:val="007B0575"/>
    <w:rsid w:val="007B05C0"/>
    <w:rsid w:val="007B0BA5"/>
    <w:rsid w:val="007B0D08"/>
    <w:rsid w:val="007B10A6"/>
    <w:rsid w:val="007B150A"/>
    <w:rsid w:val="007B19AE"/>
    <w:rsid w:val="007B1BB5"/>
    <w:rsid w:val="007B3057"/>
    <w:rsid w:val="007B3ACD"/>
    <w:rsid w:val="007B4E62"/>
    <w:rsid w:val="007B591D"/>
    <w:rsid w:val="007B6C57"/>
    <w:rsid w:val="007B72B0"/>
    <w:rsid w:val="007B7B4B"/>
    <w:rsid w:val="007C0A58"/>
    <w:rsid w:val="007C1534"/>
    <w:rsid w:val="007C2100"/>
    <w:rsid w:val="007C2C1B"/>
    <w:rsid w:val="007C35CA"/>
    <w:rsid w:val="007C376A"/>
    <w:rsid w:val="007C37F9"/>
    <w:rsid w:val="007C3F39"/>
    <w:rsid w:val="007C43F1"/>
    <w:rsid w:val="007C71DB"/>
    <w:rsid w:val="007D0B6C"/>
    <w:rsid w:val="007D12D1"/>
    <w:rsid w:val="007D1ABB"/>
    <w:rsid w:val="007D1C2F"/>
    <w:rsid w:val="007D2D96"/>
    <w:rsid w:val="007D30A2"/>
    <w:rsid w:val="007D3113"/>
    <w:rsid w:val="007D4436"/>
    <w:rsid w:val="007D6124"/>
    <w:rsid w:val="007D62D8"/>
    <w:rsid w:val="007D6481"/>
    <w:rsid w:val="007D6559"/>
    <w:rsid w:val="007D6991"/>
    <w:rsid w:val="007D6A09"/>
    <w:rsid w:val="007D6BD8"/>
    <w:rsid w:val="007D6EBF"/>
    <w:rsid w:val="007D7CE2"/>
    <w:rsid w:val="007D7DAF"/>
    <w:rsid w:val="007D7ED9"/>
    <w:rsid w:val="007E0900"/>
    <w:rsid w:val="007E0A37"/>
    <w:rsid w:val="007E112C"/>
    <w:rsid w:val="007E124E"/>
    <w:rsid w:val="007E19B9"/>
    <w:rsid w:val="007E215C"/>
    <w:rsid w:val="007E315C"/>
    <w:rsid w:val="007E33B6"/>
    <w:rsid w:val="007E3959"/>
    <w:rsid w:val="007E3B8B"/>
    <w:rsid w:val="007E4052"/>
    <w:rsid w:val="007E4288"/>
    <w:rsid w:val="007E4800"/>
    <w:rsid w:val="007E4C88"/>
    <w:rsid w:val="007E56DD"/>
    <w:rsid w:val="007E649E"/>
    <w:rsid w:val="007E6F28"/>
    <w:rsid w:val="007E7ED5"/>
    <w:rsid w:val="007F0A31"/>
    <w:rsid w:val="007F118E"/>
    <w:rsid w:val="007F1480"/>
    <w:rsid w:val="007F158B"/>
    <w:rsid w:val="007F1E34"/>
    <w:rsid w:val="007F20E0"/>
    <w:rsid w:val="007F32C3"/>
    <w:rsid w:val="007F33C1"/>
    <w:rsid w:val="007F375E"/>
    <w:rsid w:val="007F3B4C"/>
    <w:rsid w:val="007F3E36"/>
    <w:rsid w:val="007F43F1"/>
    <w:rsid w:val="007F47B9"/>
    <w:rsid w:val="007F4D27"/>
    <w:rsid w:val="007F5B34"/>
    <w:rsid w:val="007F5BB0"/>
    <w:rsid w:val="007F689D"/>
    <w:rsid w:val="007F6CAB"/>
    <w:rsid w:val="007F6D5D"/>
    <w:rsid w:val="007F6F1E"/>
    <w:rsid w:val="007F7438"/>
    <w:rsid w:val="007F7718"/>
    <w:rsid w:val="007F78D6"/>
    <w:rsid w:val="007F7BBC"/>
    <w:rsid w:val="00800129"/>
    <w:rsid w:val="00800EC4"/>
    <w:rsid w:val="00800FCD"/>
    <w:rsid w:val="008011A6"/>
    <w:rsid w:val="0080216E"/>
    <w:rsid w:val="0080225F"/>
    <w:rsid w:val="0080253B"/>
    <w:rsid w:val="00802D82"/>
    <w:rsid w:val="0080363D"/>
    <w:rsid w:val="008037AB"/>
    <w:rsid w:val="00803B90"/>
    <w:rsid w:val="00803FE5"/>
    <w:rsid w:val="008042FC"/>
    <w:rsid w:val="00804406"/>
    <w:rsid w:val="008047FA"/>
    <w:rsid w:val="00804BFB"/>
    <w:rsid w:val="00805255"/>
    <w:rsid w:val="00805B6C"/>
    <w:rsid w:val="00805E86"/>
    <w:rsid w:val="0080630B"/>
    <w:rsid w:val="008064AC"/>
    <w:rsid w:val="00806AFF"/>
    <w:rsid w:val="00806C22"/>
    <w:rsid w:val="00806CA5"/>
    <w:rsid w:val="00807048"/>
    <w:rsid w:val="0080708B"/>
    <w:rsid w:val="00807AA2"/>
    <w:rsid w:val="00810AAF"/>
    <w:rsid w:val="00811923"/>
    <w:rsid w:val="0081198C"/>
    <w:rsid w:val="008123A3"/>
    <w:rsid w:val="00813EE4"/>
    <w:rsid w:val="00813F84"/>
    <w:rsid w:val="00814581"/>
    <w:rsid w:val="008159B6"/>
    <w:rsid w:val="00815A31"/>
    <w:rsid w:val="00815A77"/>
    <w:rsid w:val="008167F5"/>
    <w:rsid w:val="00816CCD"/>
    <w:rsid w:val="00816F9C"/>
    <w:rsid w:val="00817032"/>
    <w:rsid w:val="00817361"/>
    <w:rsid w:val="008176A0"/>
    <w:rsid w:val="00817CEF"/>
    <w:rsid w:val="0082036A"/>
    <w:rsid w:val="0082092A"/>
    <w:rsid w:val="00822A31"/>
    <w:rsid w:val="00822B8B"/>
    <w:rsid w:val="00822C1B"/>
    <w:rsid w:val="00822CBD"/>
    <w:rsid w:val="008236BE"/>
    <w:rsid w:val="00823790"/>
    <w:rsid w:val="008258B0"/>
    <w:rsid w:val="00825C8E"/>
    <w:rsid w:val="008264CC"/>
    <w:rsid w:val="00826588"/>
    <w:rsid w:val="00826881"/>
    <w:rsid w:val="00826D9E"/>
    <w:rsid w:val="00827849"/>
    <w:rsid w:val="00827926"/>
    <w:rsid w:val="00831A3B"/>
    <w:rsid w:val="00831A78"/>
    <w:rsid w:val="00832517"/>
    <w:rsid w:val="00832915"/>
    <w:rsid w:val="00832CBE"/>
    <w:rsid w:val="00833CA4"/>
    <w:rsid w:val="008345D7"/>
    <w:rsid w:val="0083470A"/>
    <w:rsid w:val="00834F61"/>
    <w:rsid w:val="008351A1"/>
    <w:rsid w:val="0083616E"/>
    <w:rsid w:val="0083694B"/>
    <w:rsid w:val="00836F7A"/>
    <w:rsid w:val="008370F5"/>
    <w:rsid w:val="00837111"/>
    <w:rsid w:val="00837D49"/>
    <w:rsid w:val="00837DB9"/>
    <w:rsid w:val="00837F4E"/>
    <w:rsid w:val="00840863"/>
    <w:rsid w:val="008410B2"/>
    <w:rsid w:val="008412A9"/>
    <w:rsid w:val="008414DF"/>
    <w:rsid w:val="008418F6"/>
    <w:rsid w:val="00841FD7"/>
    <w:rsid w:val="0084227C"/>
    <w:rsid w:val="00842705"/>
    <w:rsid w:val="008428D1"/>
    <w:rsid w:val="00842E1B"/>
    <w:rsid w:val="00843259"/>
    <w:rsid w:val="00843AAA"/>
    <w:rsid w:val="00843C41"/>
    <w:rsid w:val="00845021"/>
    <w:rsid w:val="008451DC"/>
    <w:rsid w:val="00846268"/>
    <w:rsid w:val="00846531"/>
    <w:rsid w:val="00846888"/>
    <w:rsid w:val="00847394"/>
    <w:rsid w:val="008474DB"/>
    <w:rsid w:val="008500CD"/>
    <w:rsid w:val="00850729"/>
    <w:rsid w:val="00850BED"/>
    <w:rsid w:val="00850CD7"/>
    <w:rsid w:val="00850E1D"/>
    <w:rsid w:val="00851857"/>
    <w:rsid w:val="00852BCB"/>
    <w:rsid w:val="008532EE"/>
    <w:rsid w:val="00853462"/>
    <w:rsid w:val="0085393C"/>
    <w:rsid w:val="00854CD7"/>
    <w:rsid w:val="0085595D"/>
    <w:rsid w:val="00855C22"/>
    <w:rsid w:val="008565DF"/>
    <w:rsid w:val="00856ED6"/>
    <w:rsid w:val="0085710F"/>
    <w:rsid w:val="00857460"/>
    <w:rsid w:val="008574A5"/>
    <w:rsid w:val="00860675"/>
    <w:rsid w:val="0086081B"/>
    <w:rsid w:val="00860C39"/>
    <w:rsid w:val="008613C4"/>
    <w:rsid w:val="008615D7"/>
    <w:rsid w:val="00861764"/>
    <w:rsid w:val="00862760"/>
    <w:rsid w:val="00862FF0"/>
    <w:rsid w:val="008633A6"/>
    <w:rsid w:val="00864406"/>
    <w:rsid w:val="008644DF"/>
    <w:rsid w:val="00864B90"/>
    <w:rsid w:val="00864DC5"/>
    <w:rsid w:val="008652D7"/>
    <w:rsid w:val="00865EEA"/>
    <w:rsid w:val="00866A26"/>
    <w:rsid w:val="00866BFA"/>
    <w:rsid w:val="00866C35"/>
    <w:rsid w:val="0086792D"/>
    <w:rsid w:val="00867AC7"/>
    <w:rsid w:val="008701FD"/>
    <w:rsid w:val="00870775"/>
    <w:rsid w:val="008707A6"/>
    <w:rsid w:val="008717BA"/>
    <w:rsid w:val="0087206A"/>
    <w:rsid w:val="0087219E"/>
    <w:rsid w:val="00872519"/>
    <w:rsid w:val="00872893"/>
    <w:rsid w:val="0087422C"/>
    <w:rsid w:val="00874643"/>
    <w:rsid w:val="00874BE6"/>
    <w:rsid w:val="00874C95"/>
    <w:rsid w:val="00875F42"/>
    <w:rsid w:val="0087658B"/>
    <w:rsid w:val="00876CA6"/>
    <w:rsid w:val="00877018"/>
    <w:rsid w:val="0087785E"/>
    <w:rsid w:val="00877C4C"/>
    <w:rsid w:val="00877CA4"/>
    <w:rsid w:val="00881187"/>
    <w:rsid w:val="00881207"/>
    <w:rsid w:val="00881A0D"/>
    <w:rsid w:val="00881F77"/>
    <w:rsid w:val="00881F7B"/>
    <w:rsid w:val="0088201C"/>
    <w:rsid w:val="008823B3"/>
    <w:rsid w:val="00882900"/>
    <w:rsid w:val="00882B55"/>
    <w:rsid w:val="008834B1"/>
    <w:rsid w:val="008841FF"/>
    <w:rsid w:val="00884396"/>
    <w:rsid w:val="00885CCA"/>
    <w:rsid w:val="00886486"/>
    <w:rsid w:val="00886645"/>
    <w:rsid w:val="00886D06"/>
    <w:rsid w:val="00887066"/>
    <w:rsid w:val="008874AD"/>
    <w:rsid w:val="008878DF"/>
    <w:rsid w:val="00887A8D"/>
    <w:rsid w:val="00887CA6"/>
    <w:rsid w:val="0089135C"/>
    <w:rsid w:val="008916D6"/>
    <w:rsid w:val="00891D05"/>
    <w:rsid w:val="008922E7"/>
    <w:rsid w:val="008929E1"/>
    <w:rsid w:val="00892F0F"/>
    <w:rsid w:val="008930A1"/>
    <w:rsid w:val="0089429F"/>
    <w:rsid w:val="0089453C"/>
    <w:rsid w:val="008949BF"/>
    <w:rsid w:val="00894E9E"/>
    <w:rsid w:val="008950A3"/>
    <w:rsid w:val="008956F1"/>
    <w:rsid w:val="00895819"/>
    <w:rsid w:val="00895F5E"/>
    <w:rsid w:val="00896962"/>
    <w:rsid w:val="00896F39"/>
    <w:rsid w:val="0089756E"/>
    <w:rsid w:val="008976C9"/>
    <w:rsid w:val="00897AE6"/>
    <w:rsid w:val="008A038F"/>
    <w:rsid w:val="008A04BA"/>
    <w:rsid w:val="008A106C"/>
    <w:rsid w:val="008A14CA"/>
    <w:rsid w:val="008A192B"/>
    <w:rsid w:val="008A1C01"/>
    <w:rsid w:val="008A2270"/>
    <w:rsid w:val="008A2C03"/>
    <w:rsid w:val="008A30EF"/>
    <w:rsid w:val="008A3105"/>
    <w:rsid w:val="008A3310"/>
    <w:rsid w:val="008A34C3"/>
    <w:rsid w:val="008A5A98"/>
    <w:rsid w:val="008A5BEE"/>
    <w:rsid w:val="008A7892"/>
    <w:rsid w:val="008A7B8E"/>
    <w:rsid w:val="008A7FE4"/>
    <w:rsid w:val="008B023B"/>
    <w:rsid w:val="008B187F"/>
    <w:rsid w:val="008B3863"/>
    <w:rsid w:val="008B4414"/>
    <w:rsid w:val="008B4D76"/>
    <w:rsid w:val="008B537D"/>
    <w:rsid w:val="008B6375"/>
    <w:rsid w:val="008B66A3"/>
    <w:rsid w:val="008B6EEB"/>
    <w:rsid w:val="008B6FC8"/>
    <w:rsid w:val="008B7575"/>
    <w:rsid w:val="008B7DCB"/>
    <w:rsid w:val="008C0462"/>
    <w:rsid w:val="008C0929"/>
    <w:rsid w:val="008C0AFA"/>
    <w:rsid w:val="008C12C7"/>
    <w:rsid w:val="008C16E7"/>
    <w:rsid w:val="008C3726"/>
    <w:rsid w:val="008C45BB"/>
    <w:rsid w:val="008C4899"/>
    <w:rsid w:val="008C5B93"/>
    <w:rsid w:val="008C62D6"/>
    <w:rsid w:val="008C6E4D"/>
    <w:rsid w:val="008C77CD"/>
    <w:rsid w:val="008C7BDE"/>
    <w:rsid w:val="008C7DEA"/>
    <w:rsid w:val="008D0F08"/>
    <w:rsid w:val="008D1D44"/>
    <w:rsid w:val="008D1FB9"/>
    <w:rsid w:val="008D2298"/>
    <w:rsid w:val="008D24AE"/>
    <w:rsid w:val="008D49EC"/>
    <w:rsid w:val="008D5589"/>
    <w:rsid w:val="008D5807"/>
    <w:rsid w:val="008D6179"/>
    <w:rsid w:val="008D785F"/>
    <w:rsid w:val="008E01DA"/>
    <w:rsid w:val="008E0C72"/>
    <w:rsid w:val="008E0E92"/>
    <w:rsid w:val="008E203C"/>
    <w:rsid w:val="008E2572"/>
    <w:rsid w:val="008E2D7A"/>
    <w:rsid w:val="008E2F02"/>
    <w:rsid w:val="008E3815"/>
    <w:rsid w:val="008E386D"/>
    <w:rsid w:val="008E391E"/>
    <w:rsid w:val="008E3DC9"/>
    <w:rsid w:val="008E45AD"/>
    <w:rsid w:val="008E48B5"/>
    <w:rsid w:val="008E513C"/>
    <w:rsid w:val="008E5966"/>
    <w:rsid w:val="008E6346"/>
    <w:rsid w:val="008E6510"/>
    <w:rsid w:val="008E6BE1"/>
    <w:rsid w:val="008F06E4"/>
    <w:rsid w:val="008F0869"/>
    <w:rsid w:val="008F0C5D"/>
    <w:rsid w:val="008F1065"/>
    <w:rsid w:val="008F1C6E"/>
    <w:rsid w:val="008F1D22"/>
    <w:rsid w:val="008F2A9A"/>
    <w:rsid w:val="008F2DAC"/>
    <w:rsid w:val="008F3023"/>
    <w:rsid w:val="008F34D8"/>
    <w:rsid w:val="008F3733"/>
    <w:rsid w:val="008F3D5B"/>
    <w:rsid w:val="008F4CE6"/>
    <w:rsid w:val="008F5C9C"/>
    <w:rsid w:val="008F6195"/>
    <w:rsid w:val="008F6859"/>
    <w:rsid w:val="008F7666"/>
    <w:rsid w:val="008F79A6"/>
    <w:rsid w:val="008F7EC6"/>
    <w:rsid w:val="0090109D"/>
    <w:rsid w:val="009012DB"/>
    <w:rsid w:val="00901ABE"/>
    <w:rsid w:val="00902E3A"/>
    <w:rsid w:val="009042AA"/>
    <w:rsid w:val="009044C8"/>
    <w:rsid w:val="00904529"/>
    <w:rsid w:val="0090616A"/>
    <w:rsid w:val="009064B6"/>
    <w:rsid w:val="00906B03"/>
    <w:rsid w:val="00910849"/>
    <w:rsid w:val="009114E2"/>
    <w:rsid w:val="00911AE7"/>
    <w:rsid w:val="00912323"/>
    <w:rsid w:val="0091297D"/>
    <w:rsid w:val="00912AD6"/>
    <w:rsid w:val="00913B62"/>
    <w:rsid w:val="00913EFF"/>
    <w:rsid w:val="009147BD"/>
    <w:rsid w:val="0091491D"/>
    <w:rsid w:val="00914A80"/>
    <w:rsid w:val="00915858"/>
    <w:rsid w:val="00915B99"/>
    <w:rsid w:val="00915F82"/>
    <w:rsid w:val="00916100"/>
    <w:rsid w:val="009161A5"/>
    <w:rsid w:val="00916A61"/>
    <w:rsid w:val="009207E4"/>
    <w:rsid w:val="00920966"/>
    <w:rsid w:val="00920CEF"/>
    <w:rsid w:val="00921C61"/>
    <w:rsid w:val="0092218A"/>
    <w:rsid w:val="0092229D"/>
    <w:rsid w:val="009225F0"/>
    <w:rsid w:val="00922645"/>
    <w:rsid w:val="00922F54"/>
    <w:rsid w:val="00923188"/>
    <w:rsid w:val="00923BC5"/>
    <w:rsid w:val="00923BFF"/>
    <w:rsid w:val="0092720F"/>
    <w:rsid w:val="00927BB8"/>
    <w:rsid w:val="00930645"/>
    <w:rsid w:val="00930B1E"/>
    <w:rsid w:val="00930C3F"/>
    <w:rsid w:val="00930F2C"/>
    <w:rsid w:val="009320A5"/>
    <w:rsid w:val="00932137"/>
    <w:rsid w:val="009329B0"/>
    <w:rsid w:val="00932F08"/>
    <w:rsid w:val="00933296"/>
    <w:rsid w:val="00933470"/>
    <w:rsid w:val="009336E0"/>
    <w:rsid w:val="00934038"/>
    <w:rsid w:val="00934068"/>
    <w:rsid w:val="00934D7A"/>
    <w:rsid w:val="00934E51"/>
    <w:rsid w:val="009359A9"/>
    <w:rsid w:val="00936859"/>
    <w:rsid w:val="00936B04"/>
    <w:rsid w:val="00936C5B"/>
    <w:rsid w:val="0093703F"/>
    <w:rsid w:val="009375E7"/>
    <w:rsid w:val="009376C2"/>
    <w:rsid w:val="00940C0A"/>
    <w:rsid w:val="0094134C"/>
    <w:rsid w:val="00941843"/>
    <w:rsid w:val="00941F4A"/>
    <w:rsid w:val="0094225B"/>
    <w:rsid w:val="009426AE"/>
    <w:rsid w:val="00942750"/>
    <w:rsid w:val="00943050"/>
    <w:rsid w:val="009430B6"/>
    <w:rsid w:val="009431C8"/>
    <w:rsid w:val="00943499"/>
    <w:rsid w:val="009434D2"/>
    <w:rsid w:val="009444A9"/>
    <w:rsid w:val="0094563F"/>
    <w:rsid w:val="009456F8"/>
    <w:rsid w:val="00945F31"/>
    <w:rsid w:val="00946384"/>
    <w:rsid w:val="00947035"/>
    <w:rsid w:val="009476F1"/>
    <w:rsid w:val="009501FA"/>
    <w:rsid w:val="00950AEC"/>
    <w:rsid w:val="00950E9B"/>
    <w:rsid w:val="00951524"/>
    <w:rsid w:val="009528F8"/>
    <w:rsid w:val="00953604"/>
    <w:rsid w:val="009539A5"/>
    <w:rsid w:val="00953D54"/>
    <w:rsid w:val="00954635"/>
    <w:rsid w:val="00954788"/>
    <w:rsid w:val="00954950"/>
    <w:rsid w:val="00954DB9"/>
    <w:rsid w:val="00955887"/>
    <w:rsid w:val="00955ED2"/>
    <w:rsid w:val="00956E60"/>
    <w:rsid w:val="009578A6"/>
    <w:rsid w:val="009607B0"/>
    <w:rsid w:val="009616C7"/>
    <w:rsid w:val="00961805"/>
    <w:rsid w:val="00961EC6"/>
    <w:rsid w:val="009629ED"/>
    <w:rsid w:val="00964376"/>
    <w:rsid w:val="0096470B"/>
    <w:rsid w:val="00964E6D"/>
    <w:rsid w:val="0096508F"/>
    <w:rsid w:val="00966187"/>
    <w:rsid w:val="009670C6"/>
    <w:rsid w:val="009671B1"/>
    <w:rsid w:val="0096733F"/>
    <w:rsid w:val="009673BC"/>
    <w:rsid w:val="009679A5"/>
    <w:rsid w:val="009711EA"/>
    <w:rsid w:val="00971204"/>
    <w:rsid w:val="0097146D"/>
    <w:rsid w:val="00971828"/>
    <w:rsid w:val="00972540"/>
    <w:rsid w:val="00973525"/>
    <w:rsid w:val="00973AEB"/>
    <w:rsid w:val="00973C54"/>
    <w:rsid w:val="009743EC"/>
    <w:rsid w:val="009745B4"/>
    <w:rsid w:val="00974797"/>
    <w:rsid w:val="009747F8"/>
    <w:rsid w:val="009748F2"/>
    <w:rsid w:val="00975687"/>
    <w:rsid w:val="0097570A"/>
    <w:rsid w:val="0097640E"/>
    <w:rsid w:val="00977D2C"/>
    <w:rsid w:val="00980275"/>
    <w:rsid w:val="00980E4A"/>
    <w:rsid w:val="00981BD6"/>
    <w:rsid w:val="00981D96"/>
    <w:rsid w:val="00982F37"/>
    <w:rsid w:val="00983135"/>
    <w:rsid w:val="009831CE"/>
    <w:rsid w:val="0098328A"/>
    <w:rsid w:val="0098468F"/>
    <w:rsid w:val="00984B51"/>
    <w:rsid w:val="00984B85"/>
    <w:rsid w:val="00984DD9"/>
    <w:rsid w:val="00984E13"/>
    <w:rsid w:val="009850FF"/>
    <w:rsid w:val="0098548A"/>
    <w:rsid w:val="0098591F"/>
    <w:rsid w:val="00986502"/>
    <w:rsid w:val="00986D54"/>
    <w:rsid w:val="0098731C"/>
    <w:rsid w:val="00987714"/>
    <w:rsid w:val="00987F74"/>
    <w:rsid w:val="00990873"/>
    <w:rsid w:val="00991C84"/>
    <w:rsid w:val="0099215B"/>
    <w:rsid w:val="00994944"/>
    <w:rsid w:val="00994E22"/>
    <w:rsid w:val="00995734"/>
    <w:rsid w:val="00995E0D"/>
    <w:rsid w:val="00996AF3"/>
    <w:rsid w:val="00997352"/>
    <w:rsid w:val="009A0918"/>
    <w:rsid w:val="009A1C64"/>
    <w:rsid w:val="009A1D37"/>
    <w:rsid w:val="009A1F6C"/>
    <w:rsid w:val="009A22BC"/>
    <w:rsid w:val="009A26DE"/>
    <w:rsid w:val="009A2B29"/>
    <w:rsid w:val="009A2D1F"/>
    <w:rsid w:val="009A2F6A"/>
    <w:rsid w:val="009A3665"/>
    <w:rsid w:val="009A3A43"/>
    <w:rsid w:val="009A3CBF"/>
    <w:rsid w:val="009A3CEB"/>
    <w:rsid w:val="009A3FC3"/>
    <w:rsid w:val="009A40EC"/>
    <w:rsid w:val="009A4232"/>
    <w:rsid w:val="009A4439"/>
    <w:rsid w:val="009A4A0B"/>
    <w:rsid w:val="009A5065"/>
    <w:rsid w:val="009A63F2"/>
    <w:rsid w:val="009A64E5"/>
    <w:rsid w:val="009A6B7E"/>
    <w:rsid w:val="009A6F9A"/>
    <w:rsid w:val="009A76D2"/>
    <w:rsid w:val="009A78DF"/>
    <w:rsid w:val="009B0116"/>
    <w:rsid w:val="009B08B9"/>
    <w:rsid w:val="009B0B45"/>
    <w:rsid w:val="009B0FF0"/>
    <w:rsid w:val="009B169F"/>
    <w:rsid w:val="009B1FDD"/>
    <w:rsid w:val="009B3126"/>
    <w:rsid w:val="009B36F6"/>
    <w:rsid w:val="009B3D4C"/>
    <w:rsid w:val="009B4D98"/>
    <w:rsid w:val="009B5AB3"/>
    <w:rsid w:val="009B5D63"/>
    <w:rsid w:val="009B5F27"/>
    <w:rsid w:val="009B6577"/>
    <w:rsid w:val="009B70CF"/>
    <w:rsid w:val="009B73A5"/>
    <w:rsid w:val="009B7A16"/>
    <w:rsid w:val="009B7E07"/>
    <w:rsid w:val="009C01AC"/>
    <w:rsid w:val="009C15EE"/>
    <w:rsid w:val="009C1A4A"/>
    <w:rsid w:val="009C1CC7"/>
    <w:rsid w:val="009C2F88"/>
    <w:rsid w:val="009C33F2"/>
    <w:rsid w:val="009C3F07"/>
    <w:rsid w:val="009C641D"/>
    <w:rsid w:val="009C7D10"/>
    <w:rsid w:val="009D2DF8"/>
    <w:rsid w:val="009D379F"/>
    <w:rsid w:val="009D3C1C"/>
    <w:rsid w:val="009D3CCB"/>
    <w:rsid w:val="009D4285"/>
    <w:rsid w:val="009D626B"/>
    <w:rsid w:val="009D6765"/>
    <w:rsid w:val="009D6A07"/>
    <w:rsid w:val="009D6ED0"/>
    <w:rsid w:val="009D715D"/>
    <w:rsid w:val="009E0446"/>
    <w:rsid w:val="009E1562"/>
    <w:rsid w:val="009E169A"/>
    <w:rsid w:val="009E1992"/>
    <w:rsid w:val="009E1B88"/>
    <w:rsid w:val="009E1C33"/>
    <w:rsid w:val="009E20A1"/>
    <w:rsid w:val="009E213A"/>
    <w:rsid w:val="009E243D"/>
    <w:rsid w:val="009E26F5"/>
    <w:rsid w:val="009E3078"/>
    <w:rsid w:val="009E31A6"/>
    <w:rsid w:val="009E31FD"/>
    <w:rsid w:val="009E39C5"/>
    <w:rsid w:val="009E511C"/>
    <w:rsid w:val="009E5CE6"/>
    <w:rsid w:val="009E5E13"/>
    <w:rsid w:val="009E5F3E"/>
    <w:rsid w:val="009E6178"/>
    <w:rsid w:val="009E677D"/>
    <w:rsid w:val="009E6913"/>
    <w:rsid w:val="009E6C5F"/>
    <w:rsid w:val="009E754A"/>
    <w:rsid w:val="009E7946"/>
    <w:rsid w:val="009F0BE4"/>
    <w:rsid w:val="009F0BE6"/>
    <w:rsid w:val="009F0EE7"/>
    <w:rsid w:val="009F14B5"/>
    <w:rsid w:val="009F1542"/>
    <w:rsid w:val="009F1DAB"/>
    <w:rsid w:val="009F2427"/>
    <w:rsid w:val="009F408F"/>
    <w:rsid w:val="009F437E"/>
    <w:rsid w:val="009F46C3"/>
    <w:rsid w:val="009F46E8"/>
    <w:rsid w:val="009F4BC9"/>
    <w:rsid w:val="009F5DEB"/>
    <w:rsid w:val="009F6729"/>
    <w:rsid w:val="009F6781"/>
    <w:rsid w:val="009F6BB8"/>
    <w:rsid w:val="009F74E2"/>
    <w:rsid w:val="009F7944"/>
    <w:rsid w:val="009F7F84"/>
    <w:rsid w:val="00A00A06"/>
    <w:rsid w:val="00A00E9B"/>
    <w:rsid w:val="00A01215"/>
    <w:rsid w:val="00A016CE"/>
    <w:rsid w:val="00A019D5"/>
    <w:rsid w:val="00A01D34"/>
    <w:rsid w:val="00A03A55"/>
    <w:rsid w:val="00A0429D"/>
    <w:rsid w:val="00A05814"/>
    <w:rsid w:val="00A05C43"/>
    <w:rsid w:val="00A06814"/>
    <w:rsid w:val="00A06A90"/>
    <w:rsid w:val="00A06C97"/>
    <w:rsid w:val="00A078BD"/>
    <w:rsid w:val="00A07DFA"/>
    <w:rsid w:val="00A10CE6"/>
    <w:rsid w:val="00A11057"/>
    <w:rsid w:val="00A1213F"/>
    <w:rsid w:val="00A129E8"/>
    <w:rsid w:val="00A12F5C"/>
    <w:rsid w:val="00A1322A"/>
    <w:rsid w:val="00A13549"/>
    <w:rsid w:val="00A13714"/>
    <w:rsid w:val="00A13BB9"/>
    <w:rsid w:val="00A13C8D"/>
    <w:rsid w:val="00A1484B"/>
    <w:rsid w:val="00A14A5A"/>
    <w:rsid w:val="00A14F45"/>
    <w:rsid w:val="00A15348"/>
    <w:rsid w:val="00A15DDE"/>
    <w:rsid w:val="00A15F4B"/>
    <w:rsid w:val="00A16229"/>
    <w:rsid w:val="00A16259"/>
    <w:rsid w:val="00A16380"/>
    <w:rsid w:val="00A17079"/>
    <w:rsid w:val="00A1730A"/>
    <w:rsid w:val="00A17503"/>
    <w:rsid w:val="00A20BDA"/>
    <w:rsid w:val="00A213B4"/>
    <w:rsid w:val="00A22A7C"/>
    <w:rsid w:val="00A22CD5"/>
    <w:rsid w:val="00A23325"/>
    <w:rsid w:val="00A23582"/>
    <w:rsid w:val="00A23E7E"/>
    <w:rsid w:val="00A25D00"/>
    <w:rsid w:val="00A261D7"/>
    <w:rsid w:val="00A265F6"/>
    <w:rsid w:val="00A270C3"/>
    <w:rsid w:val="00A27290"/>
    <w:rsid w:val="00A279C6"/>
    <w:rsid w:val="00A27F45"/>
    <w:rsid w:val="00A31566"/>
    <w:rsid w:val="00A32BC3"/>
    <w:rsid w:val="00A33134"/>
    <w:rsid w:val="00A332CB"/>
    <w:rsid w:val="00A333AF"/>
    <w:rsid w:val="00A334A5"/>
    <w:rsid w:val="00A335F7"/>
    <w:rsid w:val="00A3467A"/>
    <w:rsid w:val="00A34861"/>
    <w:rsid w:val="00A34E6A"/>
    <w:rsid w:val="00A36365"/>
    <w:rsid w:val="00A36507"/>
    <w:rsid w:val="00A369B0"/>
    <w:rsid w:val="00A37409"/>
    <w:rsid w:val="00A4011F"/>
    <w:rsid w:val="00A40909"/>
    <w:rsid w:val="00A40E62"/>
    <w:rsid w:val="00A41586"/>
    <w:rsid w:val="00A41761"/>
    <w:rsid w:val="00A41B72"/>
    <w:rsid w:val="00A42162"/>
    <w:rsid w:val="00A42805"/>
    <w:rsid w:val="00A438CC"/>
    <w:rsid w:val="00A438DE"/>
    <w:rsid w:val="00A43E66"/>
    <w:rsid w:val="00A443B7"/>
    <w:rsid w:val="00A4462B"/>
    <w:rsid w:val="00A44B43"/>
    <w:rsid w:val="00A45069"/>
    <w:rsid w:val="00A451DF"/>
    <w:rsid w:val="00A45280"/>
    <w:rsid w:val="00A45E51"/>
    <w:rsid w:val="00A47B93"/>
    <w:rsid w:val="00A5067D"/>
    <w:rsid w:val="00A50A03"/>
    <w:rsid w:val="00A50A61"/>
    <w:rsid w:val="00A51C94"/>
    <w:rsid w:val="00A52096"/>
    <w:rsid w:val="00A53EAC"/>
    <w:rsid w:val="00A5527F"/>
    <w:rsid w:val="00A55777"/>
    <w:rsid w:val="00A55E06"/>
    <w:rsid w:val="00A56498"/>
    <w:rsid w:val="00A56A10"/>
    <w:rsid w:val="00A5747F"/>
    <w:rsid w:val="00A57748"/>
    <w:rsid w:val="00A57F0F"/>
    <w:rsid w:val="00A60F82"/>
    <w:rsid w:val="00A615D9"/>
    <w:rsid w:val="00A6220B"/>
    <w:rsid w:val="00A63048"/>
    <w:rsid w:val="00A63413"/>
    <w:rsid w:val="00A63664"/>
    <w:rsid w:val="00A63C52"/>
    <w:rsid w:val="00A643DE"/>
    <w:rsid w:val="00A65338"/>
    <w:rsid w:val="00A65354"/>
    <w:rsid w:val="00A6593F"/>
    <w:rsid w:val="00A65C8B"/>
    <w:rsid w:val="00A66934"/>
    <w:rsid w:val="00A67BE0"/>
    <w:rsid w:val="00A7031A"/>
    <w:rsid w:val="00A70354"/>
    <w:rsid w:val="00A70535"/>
    <w:rsid w:val="00A708EC"/>
    <w:rsid w:val="00A71634"/>
    <w:rsid w:val="00A72047"/>
    <w:rsid w:val="00A72CB4"/>
    <w:rsid w:val="00A72FAD"/>
    <w:rsid w:val="00A736B0"/>
    <w:rsid w:val="00A73866"/>
    <w:rsid w:val="00A74769"/>
    <w:rsid w:val="00A7490B"/>
    <w:rsid w:val="00A766B9"/>
    <w:rsid w:val="00A76993"/>
    <w:rsid w:val="00A76AC8"/>
    <w:rsid w:val="00A76E83"/>
    <w:rsid w:val="00A77A94"/>
    <w:rsid w:val="00A80DE0"/>
    <w:rsid w:val="00A8221C"/>
    <w:rsid w:val="00A82602"/>
    <w:rsid w:val="00A829F2"/>
    <w:rsid w:val="00A82ED1"/>
    <w:rsid w:val="00A82F6B"/>
    <w:rsid w:val="00A830D4"/>
    <w:rsid w:val="00A831D7"/>
    <w:rsid w:val="00A83515"/>
    <w:rsid w:val="00A84640"/>
    <w:rsid w:val="00A85735"/>
    <w:rsid w:val="00A857BA"/>
    <w:rsid w:val="00A85E96"/>
    <w:rsid w:val="00A865FE"/>
    <w:rsid w:val="00A8686E"/>
    <w:rsid w:val="00A86C76"/>
    <w:rsid w:val="00A86D0A"/>
    <w:rsid w:val="00A876F1"/>
    <w:rsid w:val="00A87E1C"/>
    <w:rsid w:val="00A919AE"/>
    <w:rsid w:val="00A92424"/>
    <w:rsid w:val="00A933B6"/>
    <w:rsid w:val="00A93430"/>
    <w:rsid w:val="00A93D3A"/>
    <w:rsid w:val="00A9507F"/>
    <w:rsid w:val="00A95CC3"/>
    <w:rsid w:val="00A96150"/>
    <w:rsid w:val="00A96243"/>
    <w:rsid w:val="00A970B0"/>
    <w:rsid w:val="00A977BC"/>
    <w:rsid w:val="00A97C37"/>
    <w:rsid w:val="00AA097A"/>
    <w:rsid w:val="00AA0BC1"/>
    <w:rsid w:val="00AA0F4C"/>
    <w:rsid w:val="00AA11EC"/>
    <w:rsid w:val="00AA138C"/>
    <w:rsid w:val="00AA236C"/>
    <w:rsid w:val="00AA38A9"/>
    <w:rsid w:val="00AA494E"/>
    <w:rsid w:val="00AA51DE"/>
    <w:rsid w:val="00AA64AC"/>
    <w:rsid w:val="00AA7226"/>
    <w:rsid w:val="00AA734B"/>
    <w:rsid w:val="00AA7A46"/>
    <w:rsid w:val="00AB04B5"/>
    <w:rsid w:val="00AB1056"/>
    <w:rsid w:val="00AB17D7"/>
    <w:rsid w:val="00AB1B09"/>
    <w:rsid w:val="00AB26EF"/>
    <w:rsid w:val="00AB2922"/>
    <w:rsid w:val="00AB2D4A"/>
    <w:rsid w:val="00AB3E7E"/>
    <w:rsid w:val="00AB4468"/>
    <w:rsid w:val="00AB5622"/>
    <w:rsid w:val="00AB5B82"/>
    <w:rsid w:val="00AB616D"/>
    <w:rsid w:val="00AB61D3"/>
    <w:rsid w:val="00AB64DB"/>
    <w:rsid w:val="00AB6A52"/>
    <w:rsid w:val="00AC04CF"/>
    <w:rsid w:val="00AC0D28"/>
    <w:rsid w:val="00AC101D"/>
    <w:rsid w:val="00AC11BF"/>
    <w:rsid w:val="00AC143F"/>
    <w:rsid w:val="00AC262D"/>
    <w:rsid w:val="00AC2CE3"/>
    <w:rsid w:val="00AC2EDE"/>
    <w:rsid w:val="00AC388B"/>
    <w:rsid w:val="00AC4313"/>
    <w:rsid w:val="00AC519B"/>
    <w:rsid w:val="00AC585C"/>
    <w:rsid w:val="00AC5BAB"/>
    <w:rsid w:val="00AC5CA5"/>
    <w:rsid w:val="00AC74A8"/>
    <w:rsid w:val="00AC772D"/>
    <w:rsid w:val="00AC7C38"/>
    <w:rsid w:val="00AD0483"/>
    <w:rsid w:val="00AD04B5"/>
    <w:rsid w:val="00AD0D81"/>
    <w:rsid w:val="00AD0F1A"/>
    <w:rsid w:val="00AD13D6"/>
    <w:rsid w:val="00AD140F"/>
    <w:rsid w:val="00AD1BDE"/>
    <w:rsid w:val="00AD215F"/>
    <w:rsid w:val="00AD223D"/>
    <w:rsid w:val="00AD2B28"/>
    <w:rsid w:val="00AD31EB"/>
    <w:rsid w:val="00AD3D0B"/>
    <w:rsid w:val="00AD4166"/>
    <w:rsid w:val="00AD42EB"/>
    <w:rsid w:val="00AD46C5"/>
    <w:rsid w:val="00AD505A"/>
    <w:rsid w:val="00AD59DF"/>
    <w:rsid w:val="00AD6470"/>
    <w:rsid w:val="00AD6883"/>
    <w:rsid w:val="00AD6B16"/>
    <w:rsid w:val="00AD6BE4"/>
    <w:rsid w:val="00AD6EFF"/>
    <w:rsid w:val="00AD7343"/>
    <w:rsid w:val="00AE0C9D"/>
    <w:rsid w:val="00AE1203"/>
    <w:rsid w:val="00AE1399"/>
    <w:rsid w:val="00AE15EA"/>
    <w:rsid w:val="00AE2C26"/>
    <w:rsid w:val="00AE4F51"/>
    <w:rsid w:val="00AE5006"/>
    <w:rsid w:val="00AE53B5"/>
    <w:rsid w:val="00AE6289"/>
    <w:rsid w:val="00AE62AD"/>
    <w:rsid w:val="00AE643A"/>
    <w:rsid w:val="00AE6A0F"/>
    <w:rsid w:val="00AE6CEB"/>
    <w:rsid w:val="00AE6E0F"/>
    <w:rsid w:val="00AE6EC4"/>
    <w:rsid w:val="00AE782D"/>
    <w:rsid w:val="00AE7883"/>
    <w:rsid w:val="00AE7CF5"/>
    <w:rsid w:val="00AF00C7"/>
    <w:rsid w:val="00AF025F"/>
    <w:rsid w:val="00AF0445"/>
    <w:rsid w:val="00AF0EB8"/>
    <w:rsid w:val="00AF1824"/>
    <w:rsid w:val="00AF443B"/>
    <w:rsid w:val="00AF4446"/>
    <w:rsid w:val="00AF46B4"/>
    <w:rsid w:val="00AF4BC7"/>
    <w:rsid w:val="00AF530A"/>
    <w:rsid w:val="00AF6264"/>
    <w:rsid w:val="00AF774C"/>
    <w:rsid w:val="00AF7D1D"/>
    <w:rsid w:val="00AF7FBD"/>
    <w:rsid w:val="00B001EB"/>
    <w:rsid w:val="00B003B0"/>
    <w:rsid w:val="00B00618"/>
    <w:rsid w:val="00B00C2E"/>
    <w:rsid w:val="00B01694"/>
    <w:rsid w:val="00B02169"/>
    <w:rsid w:val="00B03CA0"/>
    <w:rsid w:val="00B04676"/>
    <w:rsid w:val="00B0538C"/>
    <w:rsid w:val="00B05DB0"/>
    <w:rsid w:val="00B05E63"/>
    <w:rsid w:val="00B06585"/>
    <w:rsid w:val="00B06881"/>
    <w:rsid w:val="00B06A5D"/>
    <w:rsid w:val="00B10226"/>
    <w:rsid w:val="00B102B4"/>
    <w:rsid w:val="00B10EB1"/>
    <w:rsid w:val="00B112D7"/>
    <w:rsid w:val="00B136EC"/>
    <w:rsid w:val="00B139EB"/>
    <w:rsid w:val="00B13D9D"/>
    <w:rsid w:val="00B141D3"/>
    <w:rsid w:val="00B15D8E"/>
    <w:rsid w:val="00B15E38"/>
    <w:rsid w:val="00B16D7A"/>
    <w:rsid w:val="00B17381"/>
    <w:rsid w:val="00B17400"/>
    <w:rsid w:val="00B201B0"/>
    <w:rsid w:val="00B20669"/>
    <w:rsid w:val="00B20782"/>
    <w:rsid w:val="00B20D86"/>
    <w:rsid w:val="00B212B1"/>
    <w:rsid w:val="00B21766"/>
    <w:rsid w:val="00B220C5"/>
    <w:rsid w:val="00B2224A"/>
    <w:rsid w:val="00B228F9"/>
    <w:rsid w:val="00B22C56"/>
    <w:rsid w:val="00B22D99"/>
    <w:rsid w:val="00B22EFC"/>
    <w:rsid w:val="00B232F8"/>
    <w:rsid w:val="00B237EA"/>
    <w:rsid w:val="00B23F5E"/>
    <w:rsid w:val="00B246E8"/>
    <w:rsid w:val="00B24C21"/>
    <w:rsid w:val="00B25125"/>
    <w:rsid w:val="00B25941"/>
    <w:rsid w:val="00B26BAE"/>
    <w:rsid w:val="00B26F20"/>
    <w:rsid w:val="00B2722A"/>
    <w:rsid w:val="00B2748D"/>
    <w:rsid w:val="00B27657"/>
    <w:rsid w:val="00B277A3"/>
    <w:rsid w:val="00B27B06"/>
    <w:rsid w:val="00B3003E"/>
    <w:rsid w:val="00B30740"/>
    <w:rsid w:val="00B30909"/>
    <w:rsid w:val="00B31C9C"/>
    <w:rsid w:val="00B31D33"/>
    <w:rsid w:val="00B3308C"/>
    <w:rsid w:val="00B33515"/>
    <w:rsid w:val="00B336BC"/>
    <w:rsid w:val="00B3373F"/>
    <w:rsid w:val="00B33D99"/>
    <w:rsid w:val="00B340BC"/>
    <w:rsid w:val="00B3426A"/>
    <w:rsid w:val="00B34BF2"/>
    <w:rsid w:val="00B35596"/>
    <w:rsid w:val="00B35C44"/>
    <w:rsid w:val="00B363B8"/>
    <w:rsid w:val="00B369AC"/>
    <w:rsid w:val="00B36E6C"/>
    <w:rsid w:val="00B37603"/>
    <w:rsid w:val="00B37790"/>
    <w:rsid w:val="00B378D2"/>
    <w:rsid w:val="00B37A9B"/>
    <w:rsid w:val="00B4002F"/>
    <w:rsid w:val="00B40F58"/>
    <w:rsid w:val="00B413E1"/>
    <w:rsid w:val="00B41495"/>
    <w:rsid w:val="00B41704"/>
    <w:rsid w:val="00B41A9A"/>
    <w:rsid w:val="00B42151"/>
    <w:rsid w:val="00B4239A"/>
    <w:rsid w:val="00B42977"/>
    <w:rsid w:val="00B43477"/>
    <w:rsid w:val="00B43840"/>
    <w:rsid w:val="00B44DEC"/>
    <w:rsid w:val="00B44F9B"/>
    <w:rsid w:val="00B457AD"/>
    <w:rsid w:val="00B45822"/>
    <w:rsid w:val="00B458E8"/>
    <w:rsid w:val="00B46CEC"/>
    <w:rsid w:val="00B47498"/>
    <w:rsid w:val="00B476E5"/>
    <w:rsid w:val="00B47EB8"/>
    <w:rsid w:val="00B502BD"/>
    <w:rsid w:val="00B5038F"/>
    <w:rsid w:val="00B505FA"/>
    <w:rsid w:val="00B508A6"/>
    <w:rsid w:val="00B51405"/>
    <w:rsid w:val="00B51899"/>
    <w:rsid w:val="00B5226D"/>
    <w:rsid w:val="00B5231D"/>
    <w:rsid w:val="00B523FC"/>
    <w:rsid w:val="00B5354C"/>
    <w:rsid w:val="00B537F5"/>
    <w:rsid w:val="00B54831"/>
    <w:rsid w:val="00B54889"/>
    <w:rsid w:val="00B55642"/>
    <w:rsid w:val="00B558A4"/>
    <w:rsid w:val="00B55E12"/>
    <w:rsid w:val="00B561ED"/>
    <w:rsid w:val="00B56DEE"/>
    <w:rsid w:val="00B5739A"/>
    <w:rsid w:val="00B601C0"/>
    <w:rsid w:val="00B61ED2"/>
    <w:rsid w:val="00B63323"/>
    <w:rsid w:val="00B63795"/>
    <w:rsid w:val="00B63C07"/>
    <w:rsid w:val="00B64421"/>
    <w:rsid w:val="00B64803"/>
    <w:rsid w:val="00B64DA0"/>
    <w:rsid w:val="00B658D7"/>
    <w:rsid w:val="00B65AEE"/>
    <w:rsid w:val="00B672BD"/>
    <w:rsid w:val="00B67723"/>
    <w:rsid w:val="00B6790E"/>
    <w:rsid w:val="00B705A3"/>
    <w:rsid w:val="00B70818"/>
    <w:rsid w:val="00B70F93"/>
    <w:rsid w:val="00B7114D"/>
    <w:rsid w:val="00B71EDF"/>
    <w:rsid w:val="00B7309B"/>
    <w:rsid w:val="00B740E4"/>
    <w:rsid w:val="00B75448"/>
    <w:rsid w:val="00B757EB"/>
    <w:rsid w:val="00B75F61"/>
    <w:rsid w:val="00B76084"/>
    <w:rsid w:val="00B772ED"/>
    <w:rsid w:val="00B77846"/>
    <w:rsid w:val="00B77A5F"/>
    <w:rsid w:val="00B77BB0"/>
    <w:rsid w:val="00B80099"/>
    <w:rsid w:val="00B8050F"/>
    <w:rsid w:val="00B80557"/>
    <w:rsid w:val="00B820CD"/>
    <w:rsid w:val="00B825F5"/>
    <w:rsid w:val="00B8266A"/>
    <w:rsid w:val="00B82B84"/>
    <w:rsid w:val="00B82C4E"/>
    <w:rsid w:val="00B82F4B"/>
    <w:rsid w:val="00B83B28"/>
    <w:rsid w:val="00B85379"/>
    <w:rsid w:val="00B855F2"/>
    <w:rsid w:val="00B85607"/>
    <w:rsid w:val="00B85785"/>
    <w:rsid w:val="00B85EF5"/>
    <w:rsid w:val="00B86172"/>
    <w:rsid w:val="00B861A3"/>
    <w:rsid w:val="00B863F4"/>
    <w:rsid w:val="00B8677B"/>
    <w:rsid w:val="00B86E53"/>
    <w:rsid w:val="00B87F9C"/>
    <w:rsid w:val="00B90F3D"/>
    <w:rsid w:val="00B917D1"/>
    <w:rsid w:val="00B92EFF"/>
    <w:rsid w:val="00B93623"/>
    <w:rsid w:val="00B93CF3"/>
    <w:rsid w:val="00B9479F"/>
    <w:rsid w:val="00B95E82"/>
    <w:rsid w:val="00B96323"/>
    <w:rsid w:val="00B96EAC"/>
    <w:rsid w:val="00B976E3"/>
    <w:rsid w:val="00B97BC7"/>
    <w:rsid w:val="00B97FBF"/>
    <w:rsid w:val="00BA0536"/>
    <w:rsid w:val="00BA15D4"/>
    <w:rsid w:val="00BA16D0"/>
    <w:rsid w:val="00BA24E4"/>
    <w:rsid w:val="00BA2DB9"/>
    <w:rsid w:val="00BA3142"/>
    <w:rsid w:val="00BA3F51"/>
    <w:rsid w:val="00BA3F8B"/>
    <w:rsid w:val="00BA502F"/>
    <w:rsid w:val="00BA6227"/>
    <w:rsid w:val="00BA68A1"/>
    <w:rsid w:val="00BA69D4"/>
    <w:rsid w:val="00BA6A09"/>
    <w:rsid w:val="00BB03A8"/>
    <w:rsid w:val="00BB0DB8"/>
    <w:rsid w:val="00BB11E3"/>
    <w:rsid w:val="00BB18D3"/>
    <w:rsid w:val="00BB1CAE"/>
    <w:rsid w:val="00BB2CCF"/>
    <w:rsid w:val="00BB3118"/>
    <w:rsid w:val="00BB311E"/>
    <w:rsid w:val="00BB324D"/>
    <w:rsid w:val="00BB331C"/>
    <w:rsid w:val="00BB36A8"/>
    <w:rsid w:val="00BB3B57"/>
    <w:rsid w:val="00BB4392"/>
    <w:rsid w:val="00BB4393"/>
    <w:rsid w:val="00BB4496"/>
    <w:rsid w:val="00BB48A3"/>
    <w:rsid w:val="00BB5F2D"/>
    <w:rsid w:val="00BB6C00"/>
    <w:rsid w:val="00BB7639"/>
    <w:rsid w:val="00BB79AD"/>
    <w:rsid w:val="00BB7B65"/>
    <w:rsid w:val="00BC04CF"/>
    <w:rsid w:val="00BC04D2"/>
    <w:rsid w:val="00BC0A30"/>
    <w:rsid w:val="00BC1035"/>
    <w:rsid w:val="00BC192F"/>
    <w:rsid w:val="00BC1BE7"/>
    <w:rsid w:val="00BC2F54"/>
    <w:rsid w:val="00BC3698"/>
    <w:rsid w:val="00BC3AF1"/>
    <w:rsid w:val="00BC3E36"/>
    <w:rsid w:val="00BC4225"/>
    <w:rsid w:val="00BC4479"/>
    <w:rsid w:val="00BC60AD"/>
    <w:rsid w:val="00BC638D"/>
    <w:rsid w:val="00BC6ADE"/>
    <w:rsid w:val="00BC6B08"/>
    <w:rsid w:val="00BC713C"/>
    <w:rsid w:val="00BC79CD"/>
    <w:rsid w:val="00BC7CD8"/>
    <w:rsid w:val="00BD022F"/>
    <w:rsid w:val="00BD03D6"/>
    <w:rsid w:val="00BD05AC"/>
    <w:rsid w:val="00BD12A2"/>
    <w:rsid w:val="00BD2884"/>
    <w:rsid w:val="00BD28B4"/>
    <w:rsid w:val="00BD28BB"/>
    <w:rsid w:val="00BD2C0C"/>
    <w:rsid w:val="00BD2F23"/>
    <w:rsid w:val="00BD3783"/>
    <w:rsid w:val="00BD381B"/>
    <w:rsid w:val="00BD569A"/>
    <w:rsid w:val="00BD56D0"/>
    <w:rsid w:val="00BD56F0"/>
    <w:rsid w:val="00BD6160"/>
    <w:rsid w:val="00BD6241"/>
    <w:rsid w:val="00BD6277"/>
    <w:rsid w:val="00BD64B1"/>
    <w:rsid w:val="00BD71A4"/>
    <w:rsid w:val="00BD73BA"/>
    <w:rsid w:val="00BD7F7F"/>
    <w:rsid w:val="00BE0198"/>
    <w:rsid w:val="00BE0A41"/>
    <w:rsid w:val="00BE0DE6"/>
    <w:rsid w:val="00BE182F"/>
    <w:rsid w:val="00BE295D"/>
    <w:rsid w:val="00BE2F02"/>
    <w:rsid w:val="00BE3088"/>
    <w:rsid w:val="00BE30D7"/>
    <w:rsid w:val="00BE31C6"/>
    <w:rsid w:val="00BE3415"/>
    <w:rsid w:val="00BE3C94"/>
    <w:rsid w:val="00BE4CD5"/>
    <w:rsid w:val="00BE507B"/>
    <w:rsid w:val="00BE542E"/>
    <w:rsid w:val="00BE5DC7"/>
    <w:rsid w:val="00BE6A03"/>
    <w:rsid w:val="00BE6B30"/>
    <w:rsid w:val="00BE7148"/>
    <w:rsid w:val="00BE76BE"/>
    <w:rsid w:val="00BE7919"/>
    <w:rsid w:val="00BE7FC3"/>
    <w:rsid w:val="00BF034B"/>
    <w:rsid w:val="00BF04A1"/>
    <w:rsid w:val="00BF0F89"/>
    <w:rsid w:val="00BF129E"/>
    <w:rsid w:val="00BF15CE"/>
    <w:rsid w:val="00BF178A"/>
    <w:rsid w:val="00BF1C95"/>
    <w:rsid w:val="00BF261E"/>
    <w:rsid w:val="00BF28F6"/>
    <w:rsid w:val="00BF2904"/>
    <w:rsid w:val="00BF3007"/>
    <w:rsid w:val="00BF3108"/>
    <w:rsid w:val="00BF3435"/>
    <w:rsid w:val="00BF3C8D"/>
    <w:rsid w:val="00BF404B"/>
    <w:rsid w:val="00BF4A7B"/>
    <w:rsid w:val="00BF4BD4"/>
    <w:rsid w:val="00BF5BBE"/>
    <w:rsid w:val="00BF5C8E"/>
    <w:rsid w:val="00BF5DC6"/>
    <w:rsid w:val="00BF5DD0"/>
    <w:rsid w:val="00BF6511"/>
    <w:rsid w:val="00BF67E9"/>
    <w:rsid w:val="00BF6A83"/>
    <w:rsid w:val="00BF6B43"/>
    <w:rsid w:val="00BF6C85"/>
    <w:rsid w:val="00BF730A"/>
    <w:rsid w:val="00C00A30"/>
    <w:rsid w:val="00C00B1F"/>
    <w:rsid w:val="00C00D68"/>
    <w:rsid w:val="00C00FEB"/>
    <w:rsid w:val="00C0102E"/>
    <w:rsid w:val="00C01E07"/>
    <w:rsid w:val="00C0226D"/>
    <w:rsid w:val="00C023C1"/>
    <w:rsid w:val="00C027B8"/>
    <w:rsid w:val="00C02B7D"/>
    <w:rsid w:val="00C03B46"/>
    <w:rsid w:val="00C03D84"/>
    <w:rsid w:val="00C03DA8"/>
    <w:rsid w:val="00C04190"/>
    <w:rsid w:val="00C04A77"/>
    <w:rsid w:val="00C04C8A"/>
    <w:rsid w:val="00C04F59"/>
    <w:rsid w:val="00C0517C"/>
    <w:rsid w:val="00C053DB"/>
    <w:rsid w:val="00C059B3"/>
    <w:rsid w:val="00C05AB5"/>
    <w:rsid w:val="00C06021"/>
    <w:rsid w:val="00C065CB"/>
    <w:rsid w:val="00C07439"/>
    <w:rsid w:val="00C108FA"/>
    <w:rsid w:val="00C10F90"/>
    <w:rsid w:val="00C11575"/>
    <w:rsid w:val="00C122DD"/>
    <w:rsid w:val="00C126A0"/>
    <w:rsid w:val="00C12FC2"/>
    <w:rsid w:val="00C15A85"/>
    <w:rsid w:val="00C15B16"/>
    <w:rsid w:val="00C15CC9"/>
    <w:rsid w:val="00C1650F"/>
    <w:rsid w:val="00C16FE4"/>
    <w:rsid w:val="00C175D2"/>
    <w:rsid w:val="00C178B2"/>
    <w:rsid w:val="00C205DB"/>
    <w:rsid w:val="00C20C81"/>
    <w:rsid w:val="00C20D6E"/>
    <w:rsid w:val="00C2271A"/>
    <w:rsid w:val="00C22B37"/>
    <w:rsid w:val="00C22CD7"/>
    <w:rsid w:val="00C23835"/>
    <w:rsid w:val="00C24036"/>
    <w:rsid w:val="00C24088"/>
    <w:rsid w:val="00C243E9"/>
    <w:rsid w:val="00C252FB"/>
    <w:rsid w:val="00C263A2"/>
    <w:rsid w:val="00C268F3"/>
    <w:rsid w:val="00C2761E"/>
    <w:rsid w:val="00C279F5"/>
    <w:rsid w:val="00C27DD4"/>
    <w:rsid w:val="00C310C4"/>
    <w:rsid w:val="00C313BA"/>
    <w:rsid w:val="00C3186A"/>
    <w:rsid w:val="00C31D4E"/>
    <w:rsid w:val="00C331BB"/>
    <w:rsid w:val="00C33A29"/>
    <w:rsid w:val="00C34036"/>
    <w:rsid w:val="00C351CC"/>
    <w:rsid w:val="00C357F6"/>
    <w:rsid w:val="00C360AD"/>
    <w:rsid w:val="00C36523"/>
    <w:rsid w:val="00C369C3"/>
    <w:rsid w:val="00C36A83"/>
    <w:rsid w:val="00C37160"/>
    <w:rsid w:val="00C37888"/>
    <w:rsid w:val="00C4058D"/>
    <w:rsid w:val="00C407E8"/>
    <w:rsid w:val="00C41076"/>
    <w:rsid w:val="00C41DDF"/>
    <w:rsid w:val="00C421A0"/>
    <w:rsid w:val="00C42263"/>
    <w:rsid w:val="00C42713"/>
    <w:rsid w:val="00C43374"/>
    <w:rsid w:val="00C436C5"/>
    <w:rsid w:val="00C437B1"/>
    <w:rsid w:val="00C438A6"/>
    <w:rsid w:val="00C4436D"/>
    <w:rsid w:val="00C445D0"/>
    <w:rsid w:val="00C4506F"/>
    <w:rsid w:val="00C4562E"/>
    <w:rsid w:val="00C46589"/>
    <w:rsid w:val="00C46C24"/>
    <w:rsid w:val="00C46DF3"/>
    <w:rsid w:val="00C474F5"/>
    <w:rsid w:val="00C47B6E"/>
    <w:rsid w:val="00C50755"/>
    <w:rsid w:val="00C507D6"/>
    <w:rsid w:val="00C50A3A"/>
    <w:rsid w:val="00C50F83"/>
    <w:rsid w:val="00C516E5"/>
    <w:rsid w:val="00C517F1"/>
    <w:rsid w:val="00C51AFA"/>
    <w:rsid w:val="00C51C45"/>
    <w:rsid w:val="00C521F4"/>
    <w:rsid w:val="00C52384"/>
    <w:rsid w:val="00C52BD4"/>
    <w:rsid w:val="00C52EC7"/>
    <w:rsid w:val="00C534CC"/>
    <w:rsid w:val="00C539F2"/>
    <w:rsid w:val="00C54427"/>
    <w:rsid w:val="00C5445F"/>
    <w:rsid w:val="00C546B3"/>
    <w:rsid w:val="00C5532B"/>
    <w:rsid w:val="00C55B9C"/>
    <w:rsid w:val="00C55CE0"/>
    <w:rsid w:val="00C55DE7"/>
    <w:rsid w:val="00C5640E"/>
    <w:rsid w:val="00C5679D"/>
    <w:rsid w:val="00C56912"/>
    <w:rsid w:val="00C56E29"/>
    <w:rsid w:val="00C57000"/>
    <w:rsid w:val="00C57001"/>
    <w:rsid w:val="00C572C6"/>
    <w:rsid w:val="00C57462"/>
    <w:rsid w:val="00C601C6"/>
    <w:rsid w:val="00C6041A"/>
    <w:rsid w:val="00C604FA"/>
    <w:rsid w:val="00C6181A"/>
    <w:rsid w:val="00C621B5"/>
    <w:rsid w:val="00C62809"/>
    <w:rsid w:val="00C62AFC"/>
    <w:rsid w:val="00C62E95"/>
    <w:rsid w:val="00C63722"/>
    <w:rsid w:val="00C63AD3"/>
    <w:rsid w:val="00C64C45"/>
    <w:rsid w:val="00C658F1"/>
    <w:rsid w:val="00C67F30"/>
    <w:rsid w:val="00C7018A"/>
    <w:rsid w:val="00C70942"/>
    <w:rsid w:val="00C70A5B"/>
    <w:rsid w:val="00C70ABC"/>
    <w:rsid w:val="00C70E03"/>
    <w:rsid w:val="00C714FE"/>
    <w:rsid w:val="00C7162A"/>
    <w:rsid w:val="00C71C3F"/>
    <w:rsid w:val="00C71F1C"/>
    <w:rsid w:val="00C72AAC"/>
    <w:rsid w:val="00C72DF3"/>
    <w:rsid w:val="00C73578"/>
    <w:rsid w:val="00C73B04"/>
    <w:rsid w:val="00C73EA8"/>
    <w:rsid w:val="00C73F02"/>
    <w:rsid w:val="00C74B0D"/>
    <w:rsid w:val="00C74C89"/>
    <w:rsid w:val="00C757AD"/>
    <w:rsid w:val="00C760D6"/>
    <w:rsid w:val="00C76B3D"/>
    <w:rsid w:val="00C77C00"/>
    <w:rsid w:val="00C77C4B"/>
    <w:rsid w:val="00C77E9A"/>
    <w:rsid w:val="00C80081"/>
    <w:rsid w:val="00C8153C"/>
    <w:rsid w:val="00C820D0"/>
    <w:rsid w:val="00C824FE"/>
    <w:rsid w:val="00C829E9"/>
    <w:rsid w:val="00C82B6C"/>
    <w:rsid w:val="00C82F8D"/>
    <w:rsid w:val="00C83FC3"/>
    <w:rsid w:val="00C844D8"/>
    <w:rsid w:val="00C84851"/>
    <w:rsid w:val="00C848CA"/>
    <w:rsid w:val="00C855B5"/>
    <w:rsid w:val="00C85BC5"/>
    <w:rsid w:val="00C90620"/>
    <w:rsid w:val="00C906A5"/>
    <w:rsid w:val="00C913AB"/>
    <w:rsid w:val="00C91964"/>
    <w:rsid w:val="00C92286"/>
    <w:rsid w:val="00C92529"/>
    <w:rsid w:val="00C92CA7"/>
    <w:rsid w:val="00C92FFE"/>
    <w:rsid w:val="00C93DFE"/>
    <w:rsid w:val="00C946E1"/>
    <w:rsid w:val="00C94AA7"/>
    <w:rsid w:val="00C95059"/>
    <w:rsid w:val="00C9516B"/>
    <w:rsid w:val="00C95963"/>
    <w:rsid w:val="00C95B91"/>
    <w:rsid w:val="00C95F14"/>
    <w:rsid w:val="00C96D05"/>
    <w:rsid w:val="00C96E13"/>
    <w:rsid w:val="00C974D6"/>
    <w:rsid w:val="00C97A15"/>
    <w:rsid w:val="00CA34B5"/>
    <w:rsid w:val="00CA352B"/>
    <w:rsid w:val="00CA3B74"/>
    <w:rsid w:val="00CA3CA1"/>
    <w:rsid w:val="00CA50A1"/>
    <w:rsid w:val="00CA5215"/>
    <w:rsid w:val="00CA54F0"/>
    <w:rsid w:val="00CA5D88"/>
    <w:rsid w:val="00CA7566"/>
    <w:rsid w:val="00CA7BB5"/>
    <w:rsid w:val="00CB1058"/>
    <w:rsid w:val="00CB11C1"/>
    <w:rsid w:val="00CB17CC"/>
    <w:rsid w:val="00CB2027"/>
    <w:rsid w:val="00CB2D31"/>
    <w:rsid w:val="00CB354A"/>
    <w:rsid w:val="00CB3627"/>
    <w:rsid w:val="00CB378E"/>
    <w:rsid w:val="00CB475E"/>
    <w:rsid w:val="00CB5255"/>
    <w:rsid w:val="00CB546B"/>
    <w:rsid w:val="00CB5CF8"/>
    <w:rsid w:val="00CB5F3D"/>
    <w:rsid w:val="00CB5F8E"/>
    <w:rsid w:val="00CB6C85"/>
    <w:rsid w:val="00CB6D65"/>
    <w:rsid w:val="00CB718C"/>
    <w:rsid w:val="00CB74B3"/>
    <w:rsid w:val="00CB74D1"/>
    <w:rsid w:val="00CB7716"/>
    <w:rsid w:val="00CB7E75"/>
    <w:rsid w:val="00CB7F85"/>
    <w:rsid w:val="00CC0D2E"/>
    <w:rsid w:val="00CC0DB2"/>
    <w:rsid w:val="00CC149C"/>
    <w:rsid w:val="00CC1736"/>
    <w:rsid w:val="00CC2520"/>
    <w:rsid w:val="00CC3A51"/>
    <w:rsid w:val="00CC4A34"/>
    <w:rsid w:val="00CC4A7B"/>
    <w:rsid w:val="00CC511C"/>
    <w:rsid w:val="00CC5AE3"/>
    <w:rsid w:val="00CC5C65"/>
    <w:rsid w:val="00CC5FB3"/>
    <w:rsid w:val="00CC6B5E"/>
    <w:rsid w:val="00CC7970"/>
    <w:rsid w:val="00CC7BFC"/>
    <w:rsid w:val="00CD023A"/>
    <w:rsid w:val="00CD06FE"/>
    <w:rsid w:val="00CD0CDE"/>
    <w:rsid w:val="00CD0E95"/>
    <w:rsid w:val="00CD14C5"/>
    <w:rsid w:val="00CD3AAA"/>
    <w:rsid w:val="00CD4535"/>
    <w:rsid w:val="00CD4922"/>
    <w:rsid w:val="00CD544C"/>
    <w:rsid w:val="00CD5A42"/>
    <w:rsid w:val="00CD5FF6"/>
    <w:rsid w:val="00CD756C"/>
    <w:rsid w:val="00CE0D1B"/>
    <w:rsid w:val="00CE12D0"/>
    <w:rsid w:val="00CE1444"/>
    <w:rsid w:val="00CE194F"/>
    <w:rsid w:val="00CE1A51"/>
    <w:rsid w:val="00CE1B7A"/>
    <w:rsid w:val="00CE1CB4"/>
    <w:rsid w:val="00CE2323"/>
    <w:rsid w:val="00CE31AB"/>
    <w:rsid w:val="00CE3E77"/>
    <w:rsid w:val="00CE42CE"/>
    <w:rsid w:val="00CE6C2C"/>
    <w:rsid w:val="00CE713F"/>
    <w:rsid w:val="00CF0553"/>
    <w:rsid w:val="00CF0B99"/>
    <w:rsid w:val="00CF1B1B"/>
    <w:rsid w:val="00CF1DD9"/>
    <w:rsid w:val="00CF2F46"/>
    <w:rsid w:val="00CF3018"/>
    <w:rsid w:val="00CF3780"/>
    <w:rsid w:val="00CF3BDD"/>
    <w:rsid w:val="00CF3D33"/>
    <w:rsid w:val="00CF46FA"/>
    <w:rsid w:val="00CF4FB4"/>
    <w:rsid w:val="00CF5F12"/>
    <w:rsid w:val="00CF72DE"/>
    <w:rsid w:val="00D01BB2"/>
    <w:rsid w:val="00D01EBB"/>
    <w:rsid w:val="00D021A0"/>
    <w:rsid w:val="00D03096"/>
    <w:rsid w:val="00D034CA"/>
    <w:rsid w:val="00D03AF0"/>
    <w:rsid w:val="00D03DC0"/>
    <w:rsid w:val="00D047CC"/>
    <w:rsid w:val="00D04B14"/>
    <w:rsid w:val="00D05475"/>
    <w:rsid w:val="00D05B72"/>
    <w:rsid w:val="00D05E0F"/>
    <w:rsid w:val="00D06399"/>
    <w:rsid w:val="00D067C4"/>
    <w:rsid w:val="00D06D62"/>
    <w:rsid w:val="00D078BC"/>
    <w:rsid w:val="00D07FDB"/>
    <w:rsid w:val="00D1017E"/>
    <w:rsid w:val="00D10388"/>
    <w:rsid w:val="00D10578"/>
    <w:rsid w:val="00D10813"/>
    <w:rsid w:val="00D11356"/>
    <w:rsid w:val="00D11A8F"/>
    <w:rsid w:val="00D1292C"/>
    <w:rsid w:val="00D1415D"/>
    <w:rsid w:val="00D14A9D"/>
    <w:rsid w:val="00D14FDD"/>
    <w:rsid w:val="00D16658"/>
    <w:rsid w:val="00D16D69"/>
    <w:rsid w:val="00D172E9"/>
    <w:rsid w:val="00D17BA4"/>
    <w:rsid w:val="00D20272"/>
    <w:rsid w:val="00D20FB6"/>
    <w:rsid w:val="00D2161A"/>
    <w:rsid w:val="00D21B68"/>
    <w:rsid w:val="00D21EA6"/>
    <w:rsid w:val="00D22647"/>
    <w:rsid w:val="00D22A8A"/>
    <w:rsid w:val="00D2316E"/>
    <w:rsid w:val="00D236A1"/>
    <w:rsid w:val="00D24055"/>
    <w:rsid w:val="00D24E9A"/>
    <w:rsid w:val="00D25831"/>
    <w:rsid w:val="00D2623F"/>
    <w:rsid w:val="00D27040"/>
    <w:rsid w:val="00D277F0"/>
    <w:rsid w:val="00D30C22"/>
    <w:rsid w:val="00D30DA5"/>
    <w:rsid w:val="00D3154C"/>
    <w:rsid w:val="00D31FE9"/>
    <w:rsid w:val="00D32002"/>
    <w:rsid w:val="00D3215E"/>
    <w:rsid w:val="00D33378"/>
    <w:rsid w:val="00D356F2"/>
    <w:rsid w:val="00D35EA7"/>
    <w:rsid w:val="00D366A2"/>
    <w:rsid w:val="00D366B0"/>
    <w:rsid w:val="00D36B58"/>
    <w:rsid w:val="00D36BF5"/>
    <w:rsid w:val="00D36EA8"/>
    <w:rsid w:val="00D379EA"/>
    <w:rsid w:val="00D40445"/>
    <w:rsid w:val="00D40593"/>
    <w:rsid w:val="00D408BA"/>
    <w:rsid w:val="00D408DC"/>
    <w:rsid w:val="00D40940"/>
    <w:rsid w:val="00D40CC2"/>
    <w:rsid w:val="00D411F8"/>
    <w:rsid w:val="00D41588"/>
    <w:rsid w:val="00D4270A"/>
    <w:rsid w:val="00D4305D"/>
    <w:rsid w:val="00D431DC"/>
    <w:rsid w:val="00D43DB9"/>
    <w:rsid w:val="00D44BDF"/>
    <w:rsid w:val="00D44F99"/>
    <w:rsid w:val="00D453A2"/>
    <w:rsid w:val="00D454EA"/>
    <w:rsid w:val="00D45710"/>
    <w:rsid w:val="00D45CEF"/>
    <w:rsid w:val="00D46671"/>
    <w:rsid w:val="00D47EE6"/>
    <w:rsid w:val="00D50D0C"/>
    <w:rsid w:val="00D51157"/>
    <w:rsid w:val="00D512E6"/>
    <w:rsid w:val="00D51313"/>
    <w:rsid w:val="00D51BC8"/>
    <w:rsid w:val="00D52754"/>
    <w:rsid w:val="00D53C54"/>
    <w:rsid w:val="00D543E6"/>
    <w:rsid w:val="00D54427"/>
    <w:rsid w:val="00D54432"/>
    <w:rsid w:val="00D54D73"/>
    <w:rsid w:val="00D5572C"/>
    <w:rsid w:val="00D55C4F"/>
    <w:rsid w:val="00D5669B"/>
    <w:rsid w:val="00D56863"/>
    <w:rsid w:val="00D568AA"/>
    <w:rsid w:val="00D56B8F"/>
    <w:rsid w:val="00D57331"/>
    <w:rsid w:val="00D5781D"/>
    <w:rsid w:val="00D57C09"/>
    <w:rsid w:val="00D60331"/>
    <w:rsid w:val="00D60E0D"/>
    <w:rsid w:val="00D60E79"/>
    <w:rsid w:val="00D61078"/>
    <w:rsid w:val="00D61227"/>
    <w:rsid w:val="00D6186E"/>
    <w:rsid w:val="00D630F7"/>
    <w:rsid w:val="00D637B4"/>
    <w:rsid w:val="00D644D7"/>
    <w:rsid w:val="00D65EFE"/>
    <w:rsid w:val="00D66224"/>
    <w:rsid w:val="00D66CC8"/>
    <w:rsid w:val="00D6789D"/>
    <w:rsid w:val="00D70233"/>
    <w:rsid w:val="00D709F6"/>
    <w:rsid w:val="00D714F4"/>
    <w:rsid w:val="00D71528"/>
    <w:rsid w:val="00D71816"/>
    <w:rsid w:val="00D71C54"/>
    <w:rsid w:val="00D7277F"/>
    <w:rsid w:val="00D7300D"/>
    <w:rsid w:val="00D73C89"/>
    <w:rsid w:val="00D73F48"/>
    <w:rsid w:val="00D7420D"/>
    <w:rsid w:val="00D7443E"/>
    <w:rsid w:val="00D74A0D"/>
    <w:rsid w:val="00D75082"/>
    <w:rsid w:val="00D752AB"/>
    <w:rsid w:val="00D757BF"/>
    <w:rsid w:val="00D761D6"/>
    <w:rsid w:val="00D7624C"/>
    <w:rsid w:val="00D7628A"/>
    <w:rsid w:val="00D77102"/>
    <w:rsid w:val="00D77373"/>
    <w:rsid w:val="00D77B0D"/>
    <w:rsid w:val="00D77DE5"/>
    <w:rsid w:val="00D8209C"/>
    <w:rsid w:val="00D82B63"/>
    <w:rsid w:val="00D82D0B"/>
    <w:rsid w:val="00D82F17"/>
    <w:rsid w:val="00D83575"/>
    <w:rsid w:val="00D84FF5"/>
    <w:rsid w:val="00D86243"/>
    <w:rsid w:val="00D86BB5"/>
    <w:rsid w:val="00D86BEA"/>
    <w:rsid w:val="00D86E50"/>
    <w:rsid w:val="00D87D68"/>
    <w:rsid w:val="00D90D3C"/>
    <w:rsid w:val="00D9289A"/>
    <w:rsid w:val="00D92AA6"/>
    <w:rsid w:val="00D92B30"/>
    <w:rsid w:val="00D92E52"/>
    <w:rsid w:val="00D92FDA"/>
    <w:rsid w:val="00D9398D"/>
    <w:rsid w:val="00D93D01"/>
    <w:rsid w:val="00D94D6B"/>
    <w:rsid w:val="00D9554C"/>
    <w:rsid w:val="00D95AB7"/>
    <w:rsid w:val="00DA0A2C"/>
    <w:rsid w:val="00DA1124"/>
    <w:rsid w:val="00DA1192"/>
    <w:rsid w:val="00DA1457"/>
    <w:rsid w:val="00DA2BD0"/>
    <w:rsid w:val="00DA2C90"/>
    <w:rsid w:val="00DA3372"/>
    <w:rsid w:val="00DA33DB"/>
    <w:rsid w:val="00DA34A7"/>
    <w:rsid w:val="00DA35FB"/>
    <w:rsid w:val="00DA3C64"/>
    <w:rsid w:val="00DA3EA3"/>
    <w:rsid w:val="00DA3EDB"/>
    <w:rsid w:val="00DA4134"/>
    <w:rsid w:val="00DA486D"/>
    <w:rsid w:val="00DA7B4A"/>
    <w:rsid w:val="00DA7D76"/>
    <w:rsid w:val="00DB011E"/>
    <w:rsid w:val="00DB0CF8"/>
    <w:rsid w:val="00DB1519"/>
    <w:rsid w:val="00DB289D"/>
    <w:rsid w:val="00DB2990"/>
    <w:rsid w:val="00DB2BDF"/>
    <w:rsid w:val="00DB33E4"/>
    <w:rsid w:val="00DB3977"/>
    <w:rsid w:val="00DB42E8"/>
    <w:rsid w:val="00DB483D"/>
    <w:rsid w:val="00DB4E14"/>
    <w:rsid w:val="00DB56E7"/>
    <w:rsid w:val="00DB573A"/>
    <w:rsid w:val="00DB62D7"/>
    <w:rsid w:val="00DB7CC4"/>
    <w:rsid w:val="00DB7D54"/>
    <w:rsid w:val="00DB7E29"/>
    <w:rsid w:val="00DC0680"/>
    <w:rsid w:val="00DC158E"/>
    <w:rsid w:val="00DC173D"/>
    <w:rsid w:val="00DC1982"/>
    <w:rsid w:val="00DC261D"/>
    <w:rsid w:val="00DC2981"/>
    <w:rsid w:val="00DC2C48"/>
    <w:rsid w:val="00DC3073"/>
    <w:rsid w:val="00DC359F"/>
    <w:rsid w:val="00DC3BCE"/>
    <w:rsid w:val="00DC3DB7"/>
    <w:rsid w:val="00DC4888"/>
    <w:rsid w:val="00DC542F"/>
    <w:rsid w:val="00DC5E80"/>
    <w:rsid w:val="00DC6107"/>
    <w:rsid w:val="00DC61A0"/>
    <w:rsid w:val="00DC73EB"/>
    <w:rsid w:val="00DD03CB"/>
    <w:rsid w:val="00DD046F"/>
    <w:rsid w:val="00DD0C09"/>
    <w:rsid w:val="00DD0F36"/>
    <w:rsid w:val="00DD1394"/>
    <w:rsid w:val="00DD16A9"/>
    <w:rsid w:val="00DD17B3"/>
    <w:rsid w:val="00DD1C8D"/>
    <w:rsid w:val="00DD21AC"/>
    <w:rsid w:val="00DD3B27"/>
    <w:rsid w:val="00DD49F4"/>
    <w:rsid w:val="00DD5554"/>
    <w:rsid w:val="00DD6057"/>
    <w:rsid w:val="00DD664A"/>
    <w:rsid w:val="00DD7324"/>
    <w:rsid w:val="00DD739C"/>
    <w:rsid w:val="00DD744F"/>
    <w:rsid w:val="00DD74AC"/>
    <w:rsid w:val="00DD7ACE"/>
    <w:rsid w:val="00DE01A0"/>
    <w:rsid w:val="00DE0D0D"/>
    <w:rsid w:val="00DE1F7C"/>
    <w:rsid w:val="00DE2BAA"/>
    <w:rsid w:val="00DE2CDB"/>
    <w:rsid w:val="00DE2CEA"/>
    <w:rsid w:val="00DE2FB4"/>
    <w:rsid w:val="00DE3154"/>
    <w:rsid w:val="00DE3DE1"/>
    <w:rsid w:val="00DE4B57"/>
    <w:rsid w:val="00DE51B7"/>
    <w:rsid w:val="00DE5BF5"/>
    <w:rsid w:val="00DE6086"/>
    <w:rsid w:val="00DE6690"/>
    <w:rsid w:val="00DE6B98"/>
    <w:rsid w:val="00DE773F"/>
    <w:rsid w:val="00DE7A7D"/>
    <w:rsid w:val="00DE7F64"/>
    <w:rsid w:val="00DE7F70"/>
    <w:rsid w:val="00DF0087"/>
    <w:rsid w:val="00DF0803"/>
    <w:rsid w:val="00DF10CE"/>
    <w:rsid w:val="00DF136F"/>
    <w:rsid w:val="00DF1C5C"/>
    <w:rsid w:val="00DF1D31"/>
    <w:rsid w:val="00DF1F21"/>
    <w:rsid w:val="00DF1F6E"/>
    <w:rsid w:val="00DF2339"/>
    <w:rsid w:val="00DF3A86"/>
    <w:rsid w:val="00DF44A7"/>
    <w:rsid w:val="00DF4B8B"/>
    <w:rsid w:val="00DF4BDB"/>
    <w:rsid w:val="00DF580B"/>
    <w:rsid w:val="00DF6413"/>
    <w:rsid w:val="00DF6CCE"/>
    <w:rsid w:val="00DF7504"/>
    <w:rsid w:val="00DF7795"/>
    <w:rsid w:val="00DF78A9"/>
    <w:rsid w:val="00E00474"/>
    <w:rsid w:val="00E00887"/>
    <w:rsid w:val="00E00BA6"/>
    <w:rsid w:val="00E01F89"/>
    <w:rsid w:val="00E0235F"/>
    <w:rsid w:val="00E02555"/>
    <w:rsid w:val="00E02848"/>
    <w:rsid w:val="00E02B1C"/>
    <w:rsid w:val="00E038C6"/>
    <w:rsid w:val="00E043EB"/>
    <w:rsid w:val="00E04B0A"/>
    <w:rsid w:val="00E04F13"/>
    <w:rsid w:val="00E051EE"/>
    <w:rsid w:val="00E069F7"/>
    <w:rsid w:val="00E06CD8"/>
    <w:rsid w:val="00E07082"/>
    <w:rsid w:val="00E07A36"/>
    <w:rsid w:val="00E07F37"/>
    <w:rsid w:val="00E07F43"/>
    <w:rsid w:val="00E101C2"/>
    <w:rsid w:val="00E1071D"/>
    <w:rsid w:val="00E10AD5"/>
    <w:rsid w:val="00E110D0"/>
    <w:rsid w:val="00E13263"/>
    <w:rsid w:val="00E13687"/>
    <w:rsid w:val="00E146A5"/>
    <w:rsid w:val="00E148DB"/>
    <w:rsid w:val="00E150E0"/>
    <w:rsid w:val="00E157BB"/>
    <w:rsid w:val="00E16467"/>
    <w:rsid w:val="00E1748B"/>
    <w:rsid w:val="00E20395"/>
    <w:rsid w:val="00E20E7E"/>
    <w:rsid w:val="00E21658"/>
    <w:rsid w:val="00E2181C"/>
    <w:rsid w:val="00E21967"/>
    <w:rsid w:val="00E21D92"/>
    <w:rsid w:val="00E2220B"/>
    <w:rsid w:val="00E22899"/>
    <w:rsid w:val="00E23387"/>
    <w:rsid w:val="00E24E2C"/>
    <w:rsid w:val="00E25113"/>
    <w:rsid w:val="00E2542C"/>
    <w:rsid w:val="00E25E01"/>
    <w:rsid w:val="00E2615A"/>
    <w:rsid w:val="00E263A7"/>
    <w:rsid w:val="00E2652A"/>
    <w:rsid w:val="00E27408"/>
    <w:rsid w:val="00E2770A"/>
    <w:rsid w:val="00E3006B"/>
    <w:rsid w:val="00E30305"/>
    <w:rsid w:val="00E3098E"/>
    <w:rsid w:val="00E30C30"/>
    <w:rsid w:val="00E30C3C"/>
    <w:rsid w:val="00E30CDF"/>
    <w:rsid w:val="00E30F73"/>
    <w:rsid w:val="00E30FAC"/>
    <w:rsid w:val="00E31F93"/>
    <w:rsid w:val="00E329F7"/>
    <w:rsid w:val="00E33543"/>
    <w:rsid w:val="00E33FF2"/>
    <w:rsid w:val="00E34587"/>
    <w:rsid w:val="00E35551"/>
    <w:rsid w:val="00E35648"/>
    <w:rsid w:val="00E359C9"/>
    <w:rsid w:val="00E35A88"/>
    <w:rsid w:val="00E36025"/>
    <w:rsid w:val="00E3625F"/>
    <w:rsid w:val="00E37A74"/>
    <w:rsid w:val="00E37FBE"/>
    <w:rsid w:val="00E4022B"/>
    <w:rsid w:val="00E40258"/>
    <w:rsid w:val="00E402DE"/>
    <w:rsid w:val="00E409B6"/>
    <w:rsid w:val="00E41170"/>
    <w:rsid w:val="00E41CC2"/>
    <w:rsid w:val="00E41ED7"/>
    <w:rsid w:val="00E41F2A"/>
    <w:rsid w:val="00E43BE2"/>
    <w:rsid w:val="00E43D1D"/>
    <w:rsid w:val="00E44A59"/>
    <w:rsid w:val="00E44E96"/>
    <w:rsid w:val="00E4501D"/>
    <w:rsid w:val="00E452A2"/>
    <w:rsid w:val="00E45B10"/>
    <w:rsid w:val="00E45D2F"/>
    <w:rsid w:val="00E46C0C"/>
    <w:rsid w:val="00E470E1"/>
    <w:rsid w:val="00E5085F"/>
    <w:rsid w:val="00E5120E"/>
    <w:rsid w:val="00E5173C"/>
    <w:rsid w:val="00E51E48"/>
    <w:rsid w:val="00E51EF1"/>
    <w:rsid w:val="00E52CB3"/>
    <w:rsid w:val="00E530F8"/>
    <w:rsid w:val="00E53592"/>
    <w:rsid w:val="00E5366D"/>
    <w:rsid w:val="00E53A05"/>
    <w:rsid w:val="00E53D63"/>
    <w:rsid w:val="00E53F72"/>
    <w:rsid w:val="00E55306"/>
    <w:rsid w:val="00E55855"/>
    <w:rsid w:val="00E56F4E"/>
    <w:rsid w:val="00E571BD"/>
    <w:rsid w:val="00E579BD"/>
    <w:rsid w:val="00E57BEE"/>
    <w:rsid w:val="00E60262"/>
    <w:rsid w:val="00E61A3B"/>
    <w:rsid w:val="00E622BF"/>
    <w:rsid w:val="00E6242D"/>
    <w:rsid w:val="00E625DD"/>
    <w:rsid w:val="00E6300A"/>
    <w:rsid w:val="00E630B5"/>
    <w:rsid w:val="00E63CD5"/>
    <w:rsid w:val="00E643E0"/>
    <w:rsid w:val="00E65CE9"/>
    <w:rsid w:val="00E6609B"/>
    <w:rsid w:val="00E6633A"/>
    <w:rsid w:val="00E66750"/>
    <w:rsid w:val="00E670D4"/>
    <w:rsid w:val="00E706F2"/>
    <w:rsid w:val="00E708BB"/>
    <w:rsid w:val="00E709F7"/>
    <w:rsid w:val="00E70C9E"/>
    <w:rsid w:val="00E71DA1"/>
    <w:rsid w:val="00E7221B"/>
    <w:rsid w:val="00E72392"/>
    <w:rsid w:val="00E724F8"/>
    <w:rsid w:val="00E74708"/>
    <w:rsid w:val="00E7474A"/>
    <w:rsid w:val="00E761A2"/>
    <w:rsid w:val="00E76776"/>
    <w:rsid w:val="00E76AC5"/>
    <w:rsid w:val="00E76B5A"/>
    <w:rsid w:val="00E8026D"/>
    <w:rsid w:val="00E820E7"/>
    <w:rsid w:val="00E8236B"/>
    <w:rsid w:val="00E82403"/>
    <w:rsid w:val="00E82AB5"/>
    <w:rsid w:val="00E82B0F"/>
    <w:rsid w:val="00E82B90"/>
    <w:rsid w:val="00E82D0C"/>
    <w:rsid w:val="00E84A27"/>
    <w:rsid w:val="00E84FC3"/>
    <w:rsid w:val="00E85482"/>
    <w:rsid w:val="00E858A7"/>
    <w:rsid w:val="00E858C9"/>
    <w:rsid w:val="00E85B25"/>
    <w:rsid w:val="00E85E2B"/>
    <w:rsid w:val="00E86448"/>
    <w:rsid w:val="00E86A96"/>
    <w:rsid w:val="00E86C92"/>
    <w:rsid w:val="00E8710A"/>
    <w:rsid w:val="00E8782C"/>
    <w:rsid w:val="00E87D0C"/>
    <w:rsid w:val="00E91D45"/>
    <w:rsid w:val="00E92499"/>
    <w:rsid w:val="00E92770"/>
    <w:rsid w:val="00E927E1"/>
    <w:rsid w:val="00E9285A"/>
    <w:rsid w:val="00E929C9"/>
    <w:rsid w:val="00E92F37"/>
    <w:rsid w:val="00E93012"/>
    <w:rsid w:val="00E932F9"/>
    <w:rsid w:val="00E93EDD"/>
    <w:rsid w:val="00E93F04"/>
    <w:rsid w:val="00E94191"/>
    <w:rsid w:val="00E9453E"/>
    <w:rsid w:val="00E94C5F"/>
    <w:rsid w:val="00E956B6"/>
    <w:rsid w:val="00E956FF"/>
    <w:rsid w:val="00E96217"/>
    <w:rsid w:val="00E97120"/>
    <w:rsid w:val="00E97AB2"/>
    <w:rsid w:val="00E97E11"/>
    <w:rsid w:val="00EA0046"/>
    <w:rsid w:val="00EA19D9"/>
    <w:rsid w:val="00EA27A0"/>
    <w:rsid w:val="00EA2D55"/>
    <w:rsid w:val="00EA2F1F"/>
    <w:rsid w:val="00EA2F45"/>
    <w:rsid w:val="00EA2FC5"/>
    <w:rsid w:val="00EA3696"/>
    <w:rsid w:val="00EA36C0"/>
    <w:rsid w:val="00EA4059"/>
    <w:rsid w:val="00EA4512"/>
    <w:rsid w:val="00EA4FC4"/>
    <w:rsid w:val="00EA508A"/>
    <w:rsid w:val="00EA550A"/>
    <w:rsid w:val="00EA56FB"/>
    <w:rsid w:val="00EA66F0"/>
    <w:rsid w:val="00EA6DCF"/>
    <w:rsid w:val="00EA7341"/>
    <w:rsid w:val="00EB0866"/>
    <w:rsid w:val="00EB15F9"/>
    <w:rsid w:val="00EB16DB"/>
    <w:rsid w:val="00EB1F64"/>
    <w:rsid w:val="00EB1FD9"/>
    <w:rsid w:val="00EB24DD"/>
    <w:rsid w:val="00EB2521"/>
    <w:rsid w:val="00EB2574"/>
    <w:rsid w:val="00EB2A5C"/>
    <w:rsid w:val="00EB38F3"/>
    <w:rsid w:val="00EB3925"/>
    <w:rsid w:val="00EB4A74"/>
    <w:rsid w:val="00EB4FC3"/>
    <w:rsid w:val="00EB528C"/>
    <w:rsid w:val="00EB55F7"/>
    <w:rsid w:val="00EB57BA"/>
    <w:rsid w:val="00EB6ECD"/>
    <w:rsid w:val="00EC083A"/>
    <w:rsid w:val="00EC0C79"/>
    <w:rsid w:val="00EC1790"/>
    <w:rsid w:val="00EC18DE"/>
    <w:rsid w:val="00EC257E"/>
    <w:rsid w:val="00EC3167"/>
    <w:rsid w:val="00EC3183"/>
    <w:rsid w:val="00EC36FB"/>
    <w:rsid w:val="00EC51B7"/>
    <w:rsid w:val="00EC5502"/>
    <w:rsid w:val="00EC5CCB"/>
    <w:rsid w:val="00EC6766"/>
    <w:rsid w:val="00EC687D"/>
    <w:rsid w:val="00EC6A9B"/>
    <w:rsid w:val="00EC6B9F"/>
    <w:rsid w:val="00EC7658"/>
    <w:rsid w:val="00EC7691"/>
    <w:rsid w:val="00ED09CB"/>
    <w:rsid w:val="00ED1122"/>
    <w:rsid w:val="00ED19E4"/>
    <w:rsid w:val="00ED1C18"/>
    <w:rsid w:val="00ED1F17"/>
    <w:rsid w:val="00ED3F61"/>
    <w:rsid w:val="00ED474B"/>
    <w:rsid w:val="00ED47D2"/>
    <w:rsid w:val="00ED48A7"/>
    <w:rsid w:val="00ED492B"/>
    <w:rsid w:val="00ED544F"/>
    <w:rsid w:val="00ED57CD"/>
    <w:rsid w:val="00ED5877"/>
    <w:rsid w:val="00ED5FDC"/>
    <w:rsid w:val="00ED5FDE"/>
    <w:rsid w:val="00ED62B2"/>
    <w:rsid w:val="00ED715A"/>
    <w:rsid w:val="00ED71CD"/>
    <w:rsid w:val="00ED7333"/>
    <w:rsid w:val="00EE0C7A"/>
    <w:rsid w:val="00EE17C7"/>
    <w:rsid w:val="00EE1EBE"/>
    <w:rsid w:val="00EE2CBA"/>
    <w:rsid w:val="00EE32AB"/>
    <w:rsid w:val="00EE3834"/>
    <w:rsid w:val="00EE3E2A"/>
    <w:rsid w:val="00EE4546"/>
    <w:rsid w:val="00EE45B1"/>
    <w:rsid w:val="00EE49B8"/>
    <w:rsid w:val="00EE4DAD"/>
    <w:rsid w:val="00EE4ED7"/>
    <w:rsid w:val="00EE5F54"/>
    <w:rsid w:val="00EE64F1"/>
    <w:rsid w:val="00EE67D9"/>
    <w:rsid w:val="00EE74CE"/>
    <w:rsid w:val="00EF24D8"/>
    <w:rsid w:val="00EF3574"/>
    <w:rsid w:val="00EF3611"/>
    <w:rsid w:val="00EF3841"/>
    <w:rsid w:val="00EF3CAE"/>
    <w:rsid w:val="00EF3FE8"/>
    <w:rsid w:val="00EF41C8"/>
    <w:rsid w:val="00EF5689"/>
    <w:rsid w:val="00EF56FB"/>
    <w:rsid w:val="00EF5C11"/>
    <w:rsid w:val="00EF78DA"/>
    <w:rsid w:val="00F00433"/>
    <w:rsid w:val="00F00718"/>
    <w:rsid w:val="00F0087E"/>
    <w:rsid w:val="00F010E3"/>
    <w:rsid w:val="00F01DAB"/>
    <w:rsid w:val="00F01E33"/>
    <w:rsid w:val="00F022D0"/>
    <w:rsid w:val="00F02987"/>
    <w:rsid w:val="00F02A45"/>
    <w:rsid w:val="00F0305E"/>
    <w:rsid w:val="00F0306A"/>
    <w:rsid w:val="00F03EE8"/>
    <w:rsid w:val="00F043FE"/>
    <w:rsid w:val="00F0525C"/>
    <w:rsid w:val="00F056B4"/>
    <w:rsid w:val="00F05902"/>
    <w:rsid w:val="00F05BA5"/>
    <w:rsid w:val="00F05EC0"/>
    <w:rsid w:val="00F07018"/>
    <w:rsid w:val="00F07529"/>
    <w:rsid w:val="00F077A0"/>
    <w:rsid w:val="00F07D2D"/>
    <w:rsid w:val="00F07ED1"/>
    <w:rsid w:val="00F106E2"/>
    <w:rsid w:val="00F123D1"/>
    <w:rsid w:val="00F124B0"/>
    <w:rsid w:val="00F125AA"/>
    <w:rsid w:val="00F125E4"/>
    <w:rsid w:val="00F13466"/>
    <w:rsid w:val="00F13D20"/>
    <w:rsid w:val="00F148C2"/>
    <w:rsid w:val="00F14A73"/>
    <w:rsid w:val="00F150E3"/>
    <w:rsid w:val="00F15EA1"/>
    <w:rsid w:val="00F16DE9"/>
    <w:rsid w:val="00F17397"/>
    <w:rsid w:val="00F179E5"/>
    <w:rsid w:val="00F20523"/>
    <w:rsid w:val="00F21288"/>
    <w:rsid w:val="00F212BE"/>
    <w:rsid w:val="00F212CC"/>
    <w:rsid w:val="00F212CF"/>
    <w:rsid w:val="00F2135D"/>
    <w:rsid w:val="00F21C67"/>
    <w:rsid w:val="00F220C6"/>
    <w:rsid w:val="00F23105"/>
    <w:rsid w:val="00F23825"/>
    <w:rsid w:val="00F239E5"/>
    <w:rsid w:val="00F242F3"/>
    <w:rsid w:val="00F245E1"/>
    <w:rsid w:val="00F24B62"/>
    <w:rsid w:val="00F24E09"/>
    <w:rsid w:val="00F2515E"/>
    <w:rsid w:val="00F26035"/>
    <w:rsid w:val="00F2657D"/>
    <w:rsid w:val="00F2740B"/>
    <w:rsid w:val="00F30467"/>
    <w:rsid w:val="00F3074F"/>
    <w:rsid w:val="00F30908"/>
    <w:rsid w:val="00F3117D"/>
    <w:rsid w:val="00F3161D"/>
    <w:rsid w:val="00F317F7"/>
    <w:rsid w:val="00F31960"/>
    <w:rsid w:val="00F32229"/>
    <w:rsid w:val="00F32A0C"/>
    <w:rsid w:val="00F342AC"/>
    <w:rsid w:val="00F35E00"/>
    <w:rsid w:val="00F361E1"/>
    <w:rsid w:val="00F36392"/>
    <w:rsid w:val="00F363FC"/>
    <w:rsid w:val="00F36880"/>
    <w:rsid w:val="00F377AB"/>
    <w:rsid w:val="00F405A1"/>
    <w:rsid w:val="00F40FF2"/>
    <w:rsid w:val="00F42254"/>
    <w:rsid w:val="00F42D46"/>
    <w:rsid w:val="00F434D8"/>
    <w:rsid w:val="00F43E53"/>
    <w:rsid w:val="00F458BE"/>
    <w:rsid w:val="00F45AFB"/>
    <w:rsid w:val="00F460FC"/>
    <w:rsid w:val="00F46375"/>
    <w:rsid w:val="00F47695"/>
    <w:rsid w:val="00F47B80"/>
    <w:rsid w:val="00F47F8A"/>
    <w:rsid w:val="00F50A5A"/>
    <w:rsid w:val="00F50BC7"/>
    <w:rsid w:val="00F516AA"/>
    <w:rsid w:val="00F527A1"/>
    <w:rsid w:val="00F52D2A"/>
    <w:rsid w:val="00F5345A"/>
    <w:rsid w:val="00F5466A"/>
    <w:rsid w:val="00F550F8"/>
    <w:rsid w:val="00F5519B"/>
    <w:rsid w:val="00F55975"/>
    <w:rsid w:val="00F55BB5"/>
    <w:rsid w:val="00F566F9"/>
    <w:rsid w:val="00F56DCA"/>
    <w:rsid w:val="00F57237"/>
    <w:rsid w:val="00F57321"/>
    <w:rsid w:val="00F57C61"/>
    <w:rsid w:val="00F60333"/>
    <w:rsid w:val="00F60A1F"/>
    <w:rsid w:val="00F60D1C"/>
    <w:rsid w:val="00F613A0"/>
    <w:rsid w:val="00F61CC1"/>
    <w:rsid w:val="00F6240E"/>
    <w:rsid w:val="00F62500"/>
    <w:rsid w:val="00F6312C"/>
    <w:rsid w:val="00F63E5D"/>
    <w:rsid w:val="00F63F23"/>
    <w:rsid w:val="00F643C4"/>
    <w:rsid w:val="00F6453A"/>
    <w:rsid w:val="00F6526C"/>
    <w:rsid w:val="00F65A55"/>
    <w:rsid w:val="00F66079"/>
    <w:rsid w:val="00F66BDA"/>
    <w:rsid w:val="00F66FED"/>
    <w:rsid w:val="00F704B3"/>
    <w:rsid w:val="00F70AC6"/>
    <w:rsid w:val="00F71131"/>
    <w:rsid w:val="00F7257A"/>
    <w:rsid w:val="00F727FB"/>
    <w:rsid w:val="00F732B3"/>
    <w:rsid w:val="00F73648"/>
    <w:rsid w:val="00F739C2"/>
    <w:rsid w:val="00F74199"/>
    <w:rsid w:val="00F74AF3"/>
    <w:rsid w:val="00F74E89"/>
    <w:rsid w:val="00F755CF"/>
    <w:rsid w:val="00F75E99"/>
    <w:rsid w:val="00F76D21"/>
    <w:rsid w:val="00F7704C"/>
    <w:rsid w:val="00F770BC"/>
    <w:rsid w:val="00F77813"/>
    <w:rsid w:val="00F779E0"/>
    <w:rsid w:val="00F77D93"/>
    <w:rsid w:val="00F807BD"/>
    <w:rsid w:val="00F80D6F"/>
    <w:rsid w:val="00F81550"/>
    <w:rsid w:val="00F819F6"/>
    <w:rsid w:val="00F824A4"/>
    <w:rsid w:val="00F82F96"/>
    <w:rsid w:val="00F83AEB"/>
    <w:rsid w:val="00F846C3"/>
    <w:rsid w:val="00F85669"/>
    <w:rsid w:val="00F86311"/>
    <w:rsid w:val="00F86447"/>
    <w:rsid w:val="00F86C84"/>
    <w:rsid w:val="00F87092"/>
    <w:rsid w:val="00F873F1"/>
    <w:rsid w:val="00F90263"/>
    <w:rsid w:val="00F9114F"/>
    <w:rsid w:val="00F917E7"/>
    <w:rsid w:val="00F919E0"/>
    <w:rsid w:val="00F91CF9"/>
    <w:rsid w:val="00F91F6E"/>
    <w:rsid w:val="00F91FFF"/>
    <w:rsid w:val="00F923EB"/>
    <w:rsid w:val="00F92B0C"/>
    <w:rsid w:val="00F92D24"/>
    <w:rsid w:val="00F93476"/>
    <w:rsid w:val="00F93651"/>
    <w:rsid w:val="00F93A25"/>
    <w:rsid w:val="00F94123"/>
    <w:rsid w:val="00F97D34"/>
    <w:rsid w:val="00FA05C4"/>
    <w:rsid w:val="00FA09CB"/>
    <w:rsid w:val="00FA0B18"/>
    <w:rsid w:val="00FA1012"/>
    <w:rsid w:val="00FA13FF"/>
    <w:rsid w:val="00FA151D"/>
    <w:rsid w:val="00FA15FD"/>
    <w:rsid w:val="00FA1BC0"/>
    <w:rsid w:val="00FA2669"/>
    <w:rsid w:val="00FA2B7A"/>
    <w:rsid w:val="00FA3A4B"/>
    <w:rsid w:val="00FA3D27"/>
    <w:rsid w:val="00FA40B5"/>
    <w:rsid w:val="00FA4520"/>
    <w:rsid w:val="00FA4A85"/>
    <w:rsid w:val="00FA4B50"/>
    <w:rsid w:val="00FA512F"/>
    <w:rsid w:val="00FA56AF"/>
    <w:rsid w:val="00FA5BB8"/>
    <w:rsid w:val="00FA5D16"/>
    <w:rsid w:val="00FA6848"/>
    <w:rsid w:val="00FA6862"/>
    <w:rsid w:val="00FA6FED"/>
    <w:rsid w:val="00FA731D"/>
    <w:rsid w:val="00FA7A9F"/>
    <w:rsid w:val="00FA7E37"/>
    <w:rsid w:val="00FB0043"/>
    <w:rsid w:val="00FB04D1"/>
    <w:rsid w:val="00FB0E9E"/>
    <w:rsid w:val="00FB1C54"/>
    <w:rsid w:val="00FB23C3"/>
    <w:rsid w:val="00FB28DE"/>
    <w:rsid w:val="00FB2F44"/>
    <w:rsid w:val="00FB2FA8"/>
    <w:rsid w:val="00FB3281"/>
    <w:rsid w:val="00FB35CE"/>
    <w:rsid w:val="00FB432C"/>
    <w:rsid w:val="00FB4648"/>
    <w:rsid w:val="00FB4A3B"/>
    <w:rsid w:val="00FB4CEB"/>
    <w:rsid w:val="00FB4FB7"/>
    <w:rsid w:val="00FB5781"/>
    <w:rsid w:val="00FB587A"/>
    <w:rsid w:val="00FB58E2"/>
    <w:rsid w:val="00FB632F"/>
    <w:rsid w:val="00FB762E"/>
    <w:rsid w:val="00FB7EE1"/>
    <w:rsid w:val="00FC089B"/>
    <w:rsid w:val="00FC0D53"/>
    <w:rsid w:val="00FC143A"/>
    <w:rsid w:val="00FC1C04"/>
    <w:rsid w:val="00FC1D6E"/>
    <w:rsid w:val="00FC1E19"/>
    <w:rsid w:val="00FC1F0B"/>
    <w:rsid w:val="00FC2A90"/>
    <w:rsid w:val="00FC2B38"/>
    <w:rsid w:val="00FC383A"/>
    <w:rsid w:val="00FC3C23"/>
    <w:rsid w:val="00FC3CAA"/>
    <w:rsid w:val="00FC4E8D"/>
    <w:rsid w:val="00FC613B"/>
    <w:rsid w:val="00FC6EAB"/>
    <w:rsid w:val="00FC6EF3"/>
    <w:rsid w:val="00FC78E6"/>
    <w:rsid w:val="00FC7D3D"/>
    <w:rsid w:val="00FD08E2"/>
    <w:rsid w:val="00FD1043"/>
    <w:rsid w:val="00FD1313"/>
    <w:rsid w:val="00FD1E8C"/>
    <w:rsid w:val="00FD214B"/>
    <w:rsid w:val="00FD2423"/>
    <w:rsid w:val="00FD2A63"/>
    <w:rsid w:val="00FD3797"/>
    <w:rsid w:val="00FD4340"/>
    <w:rsid w:val="00FD4CE0"/>
    <w:rsid w:val="00FD4F27"/>
    <w:rsid w:val="00FD5D9F"/>
    <w:rsid w:val="00FD60F1"/>
    <w:rsid w:val="00FD732E"/>
    <w:rsid w:val="00FD7364"/>
    <w:rsid w:val="00FD75B5"/>
    <w:rsid w:val="00FD7E02"/>
    <w:rsid w:val="00FE0350"/>
    <w:rsid w:val="00FE1489"/>
    <w:rsid w:val="00FE15F6"/>
    <w:rsid w:val="00FE2CA6"/>
    <w:rsid w:val="00FE38A9"/>
    <w:rsid w:val="00FE4855"/>
    <w:rsid w:val="00FE678F"/>
    <w:rsid w:val="00FE6B24"/>
    <w:rsid w:val="00FE6C20"/>
    <w:rsid w:val="00FE6E6C"/>
    <w:rsid w:val="00FE6F0E"/>
    <w:rsid w:val="00FE7022"/>
    <w:rsid w:val="00FE71B6"/>
    <w:rsid w:val="00FE75A8"/>
    <w:rsid w:val="00FF0B04"/>
    <w:rsid w:val="00FF1C77"/>
    <w:rsid w:val="00FF2163"/>
    <w:rsid w:val="00FF4803"/>
    <w:rsid w:val="00FF61B7"/>
    <w:rsid w:val="00FF62CE"/>
    <w:rsid w:val="00FF662B"/>
    <w:rsid w:val="00FF6E72"/>
    <w:rsid w:val="00FF7D7F"/>
    <w:rsid w:val="01AD1C2E"/>
    <w:rsid w:val="01FDACE5"/>
    <w:rsid w:val="02756FE4"/>
    <w:rsid w:val="028BA5FA"/>
    <w:rsid w:val="039F0223"/>
    <w:rsid w:val="04844B5D"/>
    <w:rsid w:val="04A088F6"/>
    <w:rsid w:val="04C21308"/>
    <w:rsid w:val="05943610"/>
    <w:rsid w:val="05ABA676"/>
    <w:rsid w:val="0619D8F1"/>
    <w:rsid w:val="06A70EAD"/>
    <w:rsid w:val="08159822"/>
    <w:rsid w:val="08198BC7"/>
    <w:rsid w:val="08597090"/>
    <w:rsid w:val="087E2D5E"/>
    <w:rsid w:val="096F4677"/>
    <w:rsid w:val="09DF088F"/>
    <w:rsid w:val="0B672E7E"/>
    <w:rsid w:val="0BFE259C"/>
    <w:rsid w:val="0CD2E2EC"/>
    <w:rsid w:val="0D2C130E"/>
    <w:rsid w:val="0DBD2577"/>
    <w:rsid w:val="0F2FAA7F"/>
    <w:rsid w:val="0F3A6ED9"/>
    <w:rsid w:val="0FF0005A"/>
    <w:rsid w:val="102ECF92"/>
    <w:rsid w:val="1092C79F"/>
    <w:rsid w:val="10A6BA41"/>
    <w:rsid w:val="1106051C"/>
    <w:rsid w:val="1156F13E"/>
    <w:rsid w:val="125407D5"/>
    <w:rsid w:val="126EF75F"/>
    <w:rsid w:val="12F3B709"/>
    <w:rsid w:val="1341ED9E"/>
    <w:rsid w:val="14FAEC9D"/>
    <w:rsid w:val="1766A936"/>
    <w:rsid w:val="182BFC79"/>
    <w:rsid w:val="194C0693"/>
    <w:rsid w:val="199019D8"/>
    <w:rsid w:val="19DC8479"/>
    <w:rsid w:val="1A392ADF"/>
    <w:rsid w:val="1A44D803"/>
    <w:rsid w:val="1A5D7D28"/>
    <w:rsid w:val="1AA428FC"/>
    <w:rsid w:val="1B012E0C"/>
    <w:rsid w:val="1B4DAAE1"/>
    <w:rsid w:val="1BB4A26B"/>
    <w:rsid w:val="1C834E50"/>
    <w:rsid w:val="1C8819F9"/>
    <w:rsid w:val="1D971A7C"/>
    <w:rsid w:val="1E53E24B"/>
    <w:rsid w:val="1F2EB446"/>
    <w:rsid w:val="2026B93A"/>
    <w:rsid w:val="2044D48D"/>
    <w:rsid w:val="21578E5F"/>
    <w:rsid w:val="21B763E8"/>
    <w:rsid w:val="21EDD257"/>
    <w:rsid w:val="225E9832"/>
    <w:rsid w:val="22785A92"/>
    <w:rsid w:val="2281B191"/>
    <w:rsid w:val="22AD6E78"/>
    <w:rsid w:val="22CE410F"/>
    <w:rsid w:val="234126CF"/>
    <w:rsid w:val="241C6227"/>
    <w:rsid w:val="24B74F07"/>
    <w:rsid w:val="24C9CA9E"/>
    <w:rsid w:val="24D84A8D"/>
    <w:rsid w:val="2586C953"/>
    <w:rsid w:val="25E3C3D1"/>
    <w:rsid w:val="2632A210"/>
    <w:rsid w:val="275FF696"/>
    <w:rsid w:val="2854B83C"/>
    <w:rsid w:val="2921C6E5"/>
    <w:rsid w:val="29BBF901"/>
    <w:rsid w:val="2A431AC0"/>
    <w:rsid w:val="2A5F046E"/>
    <w:rsid w:val="2A70F5C5"/>
    <w:rsid w:val="2A7999FA"/>
    <w:rsid w:val="2AF78AB1"/>
    <w:rsid w:val="2BB8C109"/>
    <w:rsid w:val="2BDB2AE8"/>
    <w:rsid w:val="2BF0C8DB"/>
    <w:rsid w:val="2CC45F50"/>
    <w:rsid w:val="2D42310C"/>
    <w:rsid w:val="2D938D87"/>
    <w:rsid w:val="2DD77B33"/>
    <w:rsid w:val="2DFC93FD"/>
    <w:rsid w:val="2FA074FC"/>
    <w:rsid w:val="2FECA452"/>
    <w:rsid w:val="3045135C"/>
    <w:rsid w:val="31360C98"/>
    <w:rsid w:val="317A6AA7"/>
    <w:rsid w:val="317AE517"/>
    <w:rsid w:val="319E7182"/>
    <w:rsid w:val="320EF9B3"/>
    <w:rsid w:val="3229373A"/>
    <w:rsid w:val="32ACF312"/>
    <w:rsid w:val="32C59D49"/>
    <w:rsid w:val="32DE95DF"/>
    <w:rsid w:val="33CEF322"/>
    <w:rsid w:val="33DEC414"/>
    <w:rsid w:val="34E439C0"/>
    <w:rsid w:val="34FCAD3A"/>
    <w:rsid w:val="35715CFC"/>
    <w:rsid w:val="3757E545"/>
    <w:rsid w:val="3785ED70"/>
    <w:rsid w:val="37F57A28"/>
    <w:rsid w:val="383721B6"/>
    <w:rsid w:val="38E3BE14"/>
    <w:rsid w:val="39490D86"/>
    <w:rsid w:val="3B2680E9"/>
    <w:rsid w:val="3BEA8F58"/>
    <w:rsid w:val="3C431A16"/>
    <w:rsid w:val="3CEF6BC3"/>
    <w:rsid w:val="3D33A65F"/>
    <w:rsid w:val="3D3B7A94"/>
    <w:rsid w:val="3D9C974C"/>
    <w:rsid w:val="3DBF71F4"/>
    <w:rsid w:val="3E299875"/>
    <w:rsid w:val="3E8EFB1A"/>
    <w:rsid w:val="3EE03057"/>
    <w:rsid w:val="3F03331F"/>
    <w:rsid w:val="40285FAB"/>
    <w:rsid w:val="403E92C9"/>
    <w:rsid w:val="41F37F01"/>
    <w:rsid w:val="41F643A8"/>
    <w:rsid w:val="42987AAE"/>
    <w:rsid w:val="43135922"/>
    <w:rsid w:val="434519BA"/>
    <w:rsid w:val="43735DB2"/>
    <w:rsid w:val="437B35D1"/>
    <w:rsid w:val="43A384DD"/>
    <w:rsid w:val="44112723"/>
    <w:rsid w:val="446E5136"/>
    <w:rsid w:val="449EE2E9"/>
    <w:rsid w:val="44C1C51D"/>
    <w:rsid w:val="44CAE5C9"/>
    <w:rsid w:val="45070A7C"/>
    <w:rsid w:val="45B3A9E5"/>
    <w:rsid w:val="45C37D11"/>
    <w:rsid w:val="467F745C"/>
    <w:rsid w:val="46AC23C0"/>
    <w:rsid w:val="474D4AC2"/>
    <w:rsid w:val="475489D1"/>
    <w:rsid w:val="4764F33F"/>
    <w:rsid w:val="4897A213"/>
    <w:rsid w:val="4955C4D2"/>
    <w:rsid w:val="4996CD57"/>
    <w:rsid w:val="4A44EC8A"/>
    <w:rsid w:val="4A91F802"/>
    <w:rsid w:val="4AC2D9E3"/>
    <w:rsid w:val="4AFAC7B2"/>
    <w:rsid w:val="4C1E267E"/>
    <w:rsid w:val="4CD5CAD0"/>
    <w:rsid w:val="4D81EBEC"/>
    <w:rsid w:val="4E4BDB34"/>
    <w:rsid w:val="4EDC8953"/>
    <w:rsid w:val="4FCC6442"/>
    <w:rsid w:val="4FCF55B0"/>
    <w:rsid w:val="500CC0A1"/>
    <w:rsid w:val="5042B982"/>
    <w:rsid w:val="50F60169"/>
    <w:rsid w:val="51B3DCAA"/>
    <w:rsid w:val="51BD44B4"/>
    <w:rsid w:val="52FB3EFF"/>
    <w:rsid w:val="53286B1C"/>
    <w:rsid w:val="53776C4D"/>
    <w:rsid w:val="53AACE0E"/>
    <w:rsid w:val="53ED81D9"/>
    <w:rsid w:val="544C0DBF"/>
    <w:rsid w:val="54F4E576"/>
    <w:rsid w:val="5549A606"/>
    <w:rsid w:val="559A54E7"/>
    <w:rsid w:val="55C11FAE"/>
    <w:rsid w:val="56A87C32"/>
    <w:rsid w:val="57E9198A"/>
    <w:rsid w:val="5847930D"/>
    <w:rsid w:val="58762691"/>
    <w:rsid w:val="598BE624"/>
    <w:rsid w:val="59CF54BD"/>
    <w:rsid w:val="5A32045C"/>
    <w:rsid w:val="5A6217F4"/>
    <w:rsid w:val="5A6483C9"/>
    <w:rsid w:val="5A754477"/>
    <w:rsid w:val="5A7BA55B"/>
    <w:rsid w:val="5A8B0652"/>
    <w:rsid w:val="5AB638C7"/>
    <w:rsid w:val="5ABB14C8"/>
    <w:rsid w:val="5B5E7A75"/>
    <w:rsid w:val="5BCEA270"/>
    <w:rsid w:val="5C0C034F"/>
    <w:rsid w:val="5CA564BA"/>
    <w:rsid w:val="5D20F3C7"/>
    <w:rsid w:val="5DADB759"/>
    <w:rsid w:val="5DD080C7"/>
    <w:rsid w:val="5E887FFC"/>
    <w:rsid w:val="5F680AED"/>
    <w:rsid w:val="5F9FF292"/>
    <w:rsid w:val="5FB3A971"/>
    <w:rsid w:val="60087838"/>
    <w:rsid w:val="60606C47"/>
    <w:rsid w:val="610BE204"/>
    <w:rsid w:val="61F411DF"/>
    <w:rsid w:val="62617400"/>
    <w:rsid w:val="62F5940F"/>
    <w:rsid w:val="630B2FC6"/>
    <w:rsid w:val="63488D24"/>
    <w:rsid w:val="6360483C"/>
    <w:rsid w:val="63645FC3"/>
    <w:rsid w:val="654401B2"/>
    <w:rsid w:val="65BA3067"/>
    <w:rsid w:val="66351D34"/>
    <w:rsid w:val="666F8E60"/>
    <w:rsid w:val="674B4EF2"/>
    <w:rsid w:val="686FCA6B"/>
    <w:rsid w:val="691D4498"/>
    <w:rsid w:val="698BD167"/>
    <w:rsid w:val="69DB6E31"/>
    <w:rsid w:val="6A231D5B"/>
    <w:rsid w:val="6A7BB890"/>
    <w:rsid w:val="6AB06F45"/>
    <w:rsid w:val="6B70A700"/>
    <w:rsid w:val="6C54E55A"/>
    <w:rsid w:val="6F15448E"/>
    <w:rsid w:val="6F3FAC62"/>
    <w:rsid w:val="6F4DAAC3"/>
    <w:rsid w:val="6F674049"/>
    <w:rsid w:val="6F746785"/>
    <w:rsid w:val="7096492B"/>
    <w:rsid w:val="70AD72FB"/>
    <w:rsid w:val="72E551F5"/>
    <w:rsid w:val="73021D5C"/>
    <w:rsid w:val="73848845"/>
    <w:rsid w:val="73994956"/>
    <w:rsid w:val="73F1522F"/>
    <w:rsid w:val="746AD0BF"/>
    <w:rsid w:val="75119D45"/>
    <w:rsid w:val="7575E432"/>
    <w:rsid w:val="75FEBA57"/>
    <w:rsid w:val="76122A2C"/>
    <w:rsid w:val="7613F267"/>
    <w:rsid w:val="76ABC294"/>
    <w:rsid w:val="77639B29"/>
    <w:rsid w:val="77F94436"/>
    <w:rsid w:val="782A9D87"/>
    <w:rsid w:val="79799575"/>
    <w:rsid w:val="79FB05D2"/>
    <w:rsid w:val="7A1A3B86"/>
    <w:rsid w:val="7AEAC36D"/>
    <w:rsid w:val="7B6788A1"/>
    <w:rsid w:val="7BA4447A"/>
    <w:rsid w:val="7C9B6876"/>
    <w:rsid w:val="7DA66924"/>
    <w:rsid w:val="7F092F4D"/>
    <w:rsid w:val="7F83299B"/>
    <w:rsid w:val="7FD701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903A"/>
  <w15:docId w15:val="{094F0992-4CA2-4B4C-B445-27265345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48"/>
    <w:pPr>
      <w:spacing w:after="120"/>
    </w:pPr>
    <w:rPr>
      <w:spacing w:val="3"/>
      <w:sz w:val="22"/>
    </w:rPr>
  </w:style>
  <w:style w:type="paragraph" w:styleId="Heading1">
    <w:name w:val="heading 1"/>
    <w:basedOn w:val="Normal"/>
    <w:next w:val="Normal"/>
    <w:link w:val="Heading1Char"/>
    <w:uiPriority w:val="9"/>
    <w:qFormat/>
    <w:rsid w:val="00450DE1"/>
    <w:pPr>
      <w:spacing w:before="360" w:after="240" w:line="240" w:lineRule="auto"/>
      <w:contextualSpacing/>
      <w:outlineLvl w:val="0"/>
    </w:pPr>
    <w:rPr>
      <w:rFonts w:asciiTheme="majorHAnsi" w:eastAsiaTheme="majorEastAsia" w:hAnsiTheme="majorHAnsi" w:cstheme="majorBidi"/>
      <w:b/>
      <w:bCs/>
      <w:color w:val="4C41A0" w:themeColor="accent1"/>
      <w:sz w:val="64"/>
      <w:szCs w:val="28"/>
    </w:rPr>
  </w:style>
  <w:style w:type="paragraph" w:styleId="Heading2">
    <w:name w:val="heading 2"/>
    <w:basedOn w:val="Normal"/>
    <w:next w:val="Normal"/>
    <w:link w:val="Heading2Char"/>
    <w:uiPriority w:val="2"/>
    <w:qFormat/>
    <w:rsid w:val="00B56DEE"/>
    <w:pPr>
      <w:keepNext/>
      <w:spacing w:before="240" w:line="240" w:lineRule="auto"/>
      <w:outlineLvl w:val="1"/>
    </w:pPr>
    <w:rPr>
      <w:rFonts w:asciiTheme="majorHAnsi" w:eastAsiaTheme="majorEastAsia" w:hAnsiTheme="majorHAnsi" w:cstheme="majorBidi"/>
      <w:b/>
      <w:bCs/>
      <w:color w:val="4C41A0" w:themeColor="accent1"/>
      <w:sz w:val="40"/>
      <w:szCs w:val="26"/>
    </w:rPr>
  </w:style>
  <w:style w:type="paragraph" w:styleId="Heading3">
    <w:name w:val="heading 3"/>
    <w:basedOn w:val="Normal"/>
    <w:next w:val="Normal"/>
    <w:link w:val="Heading3Char"/>
    <w:uiPriority w:val="2"/>
    <w:qFormat/>
    <w:rsid w:val="00B56DEE"/>
    <w:pPr>
      <w:keepNext/>
      <w:spacing w:before="200" w:after="0" w:line="271" w:lineRule="auto"/>
      <w:outlineLvl w:val="2"/>
    </w:pPr>
    <w:rPr>
      <w:rFonts w:asciiTheme="majorHAnsi" w:eastAsiaTheme="majorEastAsia" w:hAnsiTheme="majorHAnsi" w:cstheme="majorBidi"/>
      <w:b/>
      <w:bCs/>
      <w:color w:val="4C41A0" w:themeColor="accent1"/>
      <w:sz w:val="28"/>
    </w:rPr>
  </w:style>
  <w:style w:type="paragraph" w:styleId="Heading4">
    <w:name w:val="heading 4"/>
    <w:basedOn w:val="Normal"/>
    <w:next w:val="Normal"/>
    <w:link w:val="Heading4Char"/>
    <w:uiPriority w:val="2"/>
    <w:qFormat/>
    <w:rsid w:val="00B56DEE"/>
    <w:pPr>
      <w:keepNext/>
      <w:spacing w:before="200" w:after="0"/>
      <w:outlineLvl w:val="3"/>
    </w:pPr>
    <w:rPr>
      <w:rFonts w:asciiTheme="majorHAnsi" w:eastAsiaTheme="majorEastAsia" w:hAnsiTheme="majorHAnsi" w:cstheme="majorBidi"/>
      <w:bCs/>
      <w:iCs/>
      <w:color w:val="4C41A0" w:themeColor="accent1"/>
      <w:sz w:val="24"/>
    </w:rPr>
  </w:style>
  <w:style w:type="paragraph" w:styleId="Heading5">
    <w:name w:val="heading 5"/>
    <w:basedOn w:val="Normal"/>
    <w:next w:val="Normal"/>
    <w:link w:val="Heading5Char"/>
    <w:uiPriority w:val="2"/>
    <w:unhideWhenUsed/>
    <w:qFormat/>
    <w:rsid w:val="00450DE1"/>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0DE1"/>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0DE1"/>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0DE1"/>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0DE1"/>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E1"/>
    <w:rPr>
      <w:rFonts w:asciiTheme="majorHAnsi" w:eastAsiaTheme="majorEastAsia" w:hAnsiTheme="majorHAnsi" w:cstheme="majorBidi"/>
      <w:b/>
      <w:bCs/>
      <w:color w:val="4C41A0" w:themeColor="accent1"/>
      <w:spacing w:val="3"/>
      <w:sz w:val="64"/>
      <w:szCs w:val="28"/>
    </w:rPr>
  </w:style>
  <w:style w:type="character" w:customStyle="1" w:styleId="Heading2Char">
    <w:name w:val="Heading 2 Char"/>
    <w:basedOn w:val="DefaultParagraphFont"/>
    <w:link w:val="Heading2"/>
    <w:uiPriority w:val="2"/>
    <w:rsid w:val="00B56DEE"/>
    <w:rPr>
      <w:rFonts w:asciiTheme="majorHAnsi" w:eastAsiaTheme="majorEastAsia" w:hAnsiTheme="majorHAnsi" w:cstheme="majorBidi"/>
      <w:b/>
      <w:bCs/>
      <w:color w:val="4C41A0" w:themeColor="accent1"/>
      <w:spacing w:val="3"/>
      <w:sz w:val="40"/>
      <w:szCs w:val="26"/>
    </w:rPr>
  </w:style>
  <w:style w:type="paragraph" w:styleId="BalloonText">
    <w:name w:val="Balloon Text"/>
    <w:basedOn w:val="Normal"/>
    <w:link w:val="BalloonTextChar"/>
    <w:uiPriority w:val="99"/>
    <w:semiHidden/>
    <w:unhideWhenUsed/>
    <w:rsid w:val="00450DE1"/>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B56DEE"/>
    <w:rPr>
      <w:rFonts w:asciiTheme="majorHAnsi" w:eastAsiaTheme="majorEastAsia" w:hAnsiTheme="majorHAnsi" w:cstheme="majorBidi"/>
      <w:b/>
      <w:bCs/>
      <w:color w:val="4C41A0" w:themeColor="accent1"/>
      <w:spacing w:val="3"/>
      <w:sz w:val="28"/>
    </w:rPr>
  </w:style>
  <w:style w:type="character" w:customStyle="1" w:styleId="Heading4Char">
    <w:name w:val="Heading 4 Char"/>
    <w:basedOn w:val="DefaultParagraphFont"/>
    <w:link w:val="Heading4"/>
    <w:uiPriority w:val="2"/>
    <w:rsid w:val="00B56DEE"/>
    <w:rPr>
      <w:rFonts w:asciiTheme="majorHAnsi" w:eastAsiaTheme="majorEastAsia" w:hAnsiTheme="majorHAnsi" w:cstheme="majorBidi"/>
      <w:bCs/>
      <w:iCs/>
      <w:color w:val="4C41A0" w:themeColor="accent1"/>
      <w:spacing w:val="3"/>
    </w:rPr>
  </w:style>
  <w:style w:type="character" w:customStyle="1" w:styleId="Heading5Char">
    <w:name w:val="Heading 5 Char"/>
    <w:basedOn w:val="DefaultParagraphFont"/>
    <w:link w:val="Heading5"/>
    <w:uiPriority w:val="2"/>
    <w:rsid w:val="00450DE1"/>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0DE1"/>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0DE1"/>
    <w:rPr>
      <w:rFonts w:eastAsiaTheme="majorEastAsia" w:cstheme="majorBidi"/>
      <w:iCs/>
      <w:spacing w:val="3"/>
      <w:sz w:val="22"/>
    </w:rPr>
  </w:style>
  <w:style w:type="character" w:customStyle="1" w:styleId="Heading8Char">
    <w:name w:val="Heading 8 Char"/>
    <w:basedOn w:val="DefaultParagraphFont"/>
    <w:link w:val="Heading8"/>
    <w:uiPriority w:val="10"/>
    <w:rsid w:val="00450DE1"/>
    <w:rPr>
      <w:rFonts w:eastAsiaTheme="majorEastAsia" w:cstheme="majorBidi"/>
      <w:spacing w:val="3"/>
      <w:sz w:val="22"/>
      <w:szCs w:val="20"/>
    </w:rPr>
  </w:style>
  <w:style w:type="character" w:customStyle="1" w:styleId="Heading9Char">
    <w:name w:val="Heading 9 Char"/>
    <w:basedOn w:val="DefaultParagraphFont"/>
    <w:link w:val="Heading9"/>
    <w:uiPriority w:val="10"/>
    <w:rsid w:val="00450DE1"/>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0DE1"/>
    <w:rPr>
      <w:rFonts w:ascii="Tahoma" w:hAnsi="Tahoma" w:cs="Tahoma"/>
      <w:spacing w:val="3"/>
      <w:sz w:val="16"/>
      <w:szCs w:val="16"/>
    </w:rPr>
  </w:style>
  <w:style w:type="numbering" w:customStyle="1" w:styleId="BulletsList">
    <w:name w:val="Bullets List"/>
    <w:uiPriority w:val="99"/>
    <w:rsid w:val="00450DE1"/>
    <w:pPr>
      <w:numPr>
        <w:numId w:val="2"/>
      </w:numPr>
    </w:pPr>
  </w:style>
  <w:style w:type="paragraph" w:styleId="Caption">
    <w:name w:val="caption"/>
    <w:aliases w:val="Caption Table title"/>
    <w:basedOn w:val="Normal"/>
    <w:next w:val="Normal"/>
    <w:uiPriority w:val="35"/>
    <w:unhideWhenUsed/>
    <w:rsid w:val="00450DE1"/>
    <w:pPr>
      <w:spacing w:before="360" w:line="240" w:lineRule="atLeast"/>
    </w:pPr>
    <w:rPr>
      <w:b/>
      <w:bCs/>
      <w:szCs w:val="18"/>
    </w:rPr>
  </w:style>
  <w:style w:type="paragraph" w:customStyle="1" w:styleId="Horizontalrule">
    <w:name w:val="Horizontal rule"/>
    <w:basedOn w:val="Normal"/>
    <w:uiPriority w:val="4"/>
    <w:semiHidden/>
    <w:qFormat/>
    <w:rsid w:val="00450DE1"/>
    <w:pPr>
      <w:pBdr>
        <w:bottom w:val="single" w:sz="24" w:space="1" w:color="4C41A0" w:themeColor="accent1"/>
      </w:pBdr>
      <w:spacing w:after="0" w:line="240" w:lineRule="auto"/>
    </w:pPr>
    <w:rPr>
      <w:noProof/>
    </w:rPr>
  </w:style>
  <w:style w:type="paragraph" w:customStyle="1" w:styleId="Crestwithrule">
    <w:name w:val="Crest with rule"/>
    <w:basedOn w:val="Horizontalrule"/>
    <w:uiPriority w:val="99"/>
    <w:qFormat/>
    <w:rsid w:val="00450DE1"/>
    <w:pPr>
      <w:pBdr>
        <w:bottom w:val="single" w:sz="24" w:space="1" w:color="78519E" w:themeColor="accent2"/>
      </w:pBdr>
      <w:ind w:right="-425" w:hanging="284"/>
    </w:pPr>
  </w:style>
  <w:style w:type="table" w:customStyle="1" w:styleId="DSSDatatablestyle">
    <w:name w:val="DSS Data table style"/>
    <w:basedOn w:val="TableNormal"/>
    <w:uiPriority w:val="99"/>
    <w:rsid w:val="008E203C"/>
    <w:pPr>
      <w:spacing w:after="0" w:line="240" w:lineRule="auto"/>
    </w:pPr>
    <w:rPr>
      <w:color w:val="000000" w:themeColor="text1"/>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4C41A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8E203C"/>
    <w:pPr>
      <w:spacing w:after="0" w:line="240" w:lineRule="auto"/>
    </w:pPr>
    <w:rPr>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FBB919" w:themeColor="accent4"/>
        </w:tcBorders>
      </w:tcPr>
    </w:tblStylePr>
    <w:tblStylePr w:type="band2Horz">
      <w:rPr>
        <w14:numSpacing w14:val="tabular"/>
      </w:rPr>
      <w:tblPr/>
      <w:tcPr>
        <w:tcBorders>
          <w:bottom w:val="single" w:sz="4" w:space="0" w:color="FBB919" w:themeColor="accent4"/>
        </w:tcBorders>
        <w:shd w:val="clear" w:color="auto" w:fill="FFFFFF" w:themeFill="background1"/>
      </w:tcPr>
    </w:tblStylePr>
  </w:style>
  <w:style w:type="character" w:styleId="Emphasis">
    <w:name w:val="Emphasis"/>
    <w:uiPriority w:val="20"/>
    <w:unhideWhenUsed/>
    <w:qFormat/>
    <w:rsid w:val="00450DE1"/>
    <w:rPr>
      <w:b/>
      <w:bCs/>
      <w:i/>
      <w:iCs/>
      <w:spacing w:val="10"/>
      <w:bdr w:val="none" w:sz="0" w:space="0" w:color="auto"/>
      <w:shd w:val="clear" w:color="auto" w:fill="auto"/>
    </w:rPr>
  </w:style>
  <w:style w:type="paragraph" w:customStyle="1" w:styleId="Focus-teal">
    <w:name w:val="Focus - teal"/>
    <w:basedOn w:val="Normal"/>
    <w:next w:val="Normal"/>
    <w:uiPriority w:val="7"/>
    <w:qFormat/>
    <w:rsid w:val="00450DE1"/>
    <w:pPr>
      <w:pBdr>
        <w:top w:val="single" w:sz="4" w:space="4" w:color="4C41A0" w:themeColor="accent1"/>
        <w:left w:val="single" w:sz="4" w:space="4" w:color="4C41A0" w:themeColor="accent1"/>
        <w:bottom w:val="single" w:sz="4" w:space="4" w:color="4C41A0" w:themeColor="accent1"/>
        <w:right w:val="single" w:sz="4" w:space="6" w:color="4C41A0" w:themeColor="accent1"/>
      </w:pBdr>
      <w:shd w:val="clear" w:color="auto" w:fill="EEEDF5" w:themeFill="accent3" w:themeFillTint="33"/>
    </w:pPr>
  </w:style>
  <w:style w:type="paragraph" w:customStyle="1" w:styleId="Focus-error">
    <w:name w:val="Focus - error"/>
    <w:basedOn w:val="Focus-teal"/>
    <w:next w:val="Normal"/>
    <w:uiPriority w:val="7"/>
    <w:qFormat/>
    <w:rsid w:val="00450DE1"/>
    <w:pPr>
      <w:shd w:val="clear" w:color="auto" w:fill="FFEFEF"/>
    </w:pPr>
  </w:style>
  <w:style w:type="paragraph" w:customStyle="1" w:styleId="Focus-grey">
    <w:name w:val="Focus - grey"/>
    <w:basedOn w:val="Focus-teal"/>
    <w:next w:val="Normal"/>
    <w:uiPriority w:val="7"/>
    <w:qFormat/>
    <w:rsid w:val="00450DE1"/>
    <w:pPr>
      <w:shd w:val="clear" w:color="auto" w:fill="F2F2F2" w:themeFill="background1" w:themeFillShade="F2"/>
    </w:pPr>
  </w:style>
  <w:style w:type="paragraph" w:customStyle="1" w:styleId="Focus-warning">
    <w:name w:val="Focus - warning"/>
    <w:basedOn w:val="Focus-teal"/>
    <w:next w:val="Normal"/>
    <w:uiPriority w:val="7"/>
    <w:qFormat/>
    <w:rsid w:val="00450DE1"/>
    <w:pPr>
      <w:shd w:val="clear" w:color="auto" w:fill="FDF7DB"/>
    </w:pPr>
  </w:style>
  <w:style w:type="character" w:styleId="FollowedHyperlink">
    <w:name w:val="FollowedHyperlink"/>
    <w:basedOn w:val="DefaultParagraphFont"/>
    <w:uiPriority w:val="99"/>
    <w:semiHidden/>
    <w:unhideWhenUsed/>
    <w:rsid w:val="00450DE1"/>
    <w:rPr>
      <w:color w:val="0070C0" w:themeColor="followedHyperlink"/>
      <w:u w:val="single"/>
    </w:rPr>
  </w:style>
  <w:style w:type="paragraph" w:styleId="Footer">
    <w:name w:val="footer"/>
    <w:basedOn w:val="Normal"/>
    <w:link w:val="FooterChar"/>
    <w:uiPriority w:val="99"/>
    <w:unhideWhenUsed/>
    <w:rsid w:val="00450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DE1"/>
    <w:rPr>
      <w:spacing w:val="3"/>
      <w:sz w:val="22"/>
    </w:rPr>
  </w:style>
  <w:style w:type="table" w:styleId="GridTable4">
    <w:name w:val="Grid Table 4"/>
    <w:basedOn w:val="TableNormal"/>
    <w:uiPriority w:val="49"/>
    <w:rsid w:val="00450D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0DE1"/>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0DE1"/>
    <w:rPr>
      <w:rFonts w:ascii="Georgia" w:hAnsi="Georgia"/>
      <w:color w:val="24596E"/>
      <w:spacing w:val="3"/>
      <w:sz w:val="22"/>
    </w:rPr>
  </w:style>
  <w:style w:type="paragraph" w:customStyle="1" w:styleId="Heading1withsubtitle">
    <w:name w:val="Heading 1 (with subtitle)"/>
    <w:basedOn w:val="Title"/>
    <w:next w:val="Subtitle"/>
    <w:uiPriority w:val="9"/>
    <w:qFormat/>
    <w:rsid w:val="00086FA5"/>
    <w:rPr>
      <w:b/>
    </w:rPr>
  </w:style>
  <w:style w:type="paragraph" w:styleId="Subtitle">
    <w:name w:val="Subtitle"/>
    <w:basedOn w:val="Normal"/>
    <w:next w:val="Normal"/>
    <w:link w:val="SubtitleChar"/>
    <w:uiPriority w:val="9"/>
    <w:qFormat/>
    <w:rsid w:val="00450DE1"/>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0DE1"/>
    <w:rPr>
      <w:rFonts w:asciiTheme="majorHAnsi" w:eastAsiaTheme="majorEastAsia" w:hAnsiTheme="majorHAnsi" w:cstheme="majorBidi"/>
      <w:b/>
      <w:iCs/>
      <w:color w:val="000000" w:themeColor="text1"/>
      <w:spacing w:val="6"/>
      <w:sz w:val="32"/>
    </w:rPr>
  </w:style>
  <w:style w:type="character" w:styleId="Hyperlink">
    <w:name w:val="Hyperlink"/>
    <w:uiPriority w:val="99"/>
    <w:rsid w:val="00450DE1"/>
    <w:rPr>
      <w:rFonts w:asciiTheme="minorHAnsi" w:hAnsiTheme="minorHAnsi"/>
      <w:b w:val="0"/>
      <w:color w:val="0070C0"/>
      <w:u w:val="single"/>
    </w:rPr>
  </w:style>
  <w:style w:type="character" w:styleId="IntenseEmphasis">
    <w:name w:val="Intense Emphasis"/>
    <w:uiPriority w:val="21"/>
    <w:unhideWhenUsed/>
    <w:qFormat/>
    <w:rsid w:val="00450DE1"/>
    <w:rPr>
      <w:b/>
      <w:bCs/>
    </w:rPr>
  </w:style>
  <w:style w:type="paragraph" w:customStyle="1" w:styleId="IntroductionQuote">
    <w:name w:val="Introduction / Quote"/>
    <w:basedOn w:val="Normal"/>
    <w:uiPriority w:val="1"/>
    <w:qFormat/>
    <w:rsid w:val="00450DE1"/>
    <w:pPr>
      <w:spacing w:line="288" w:lineRule="auto"/>
    </w:pPr>
    <w:rPr>
      <w:color w:val="000000" w:themeColor="text1"/>
      <w:sz w:val="28"/>
    </w:rPr>
  </w:style>
  <w:style w:type="paragraph" w:styleId="ListBullet">
    <w:name w:val="List Bullet"/>
    <w:basedOn w:val="Normal"/>
    <w:uiPriority w:val="99"/>
    <w:unhideWhenUsed/>
    <w:qFormat/>
    <w:rsid w:val="00450DE1"/>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B54889"/>
    <w:pPr>
      <w:numPr>
        <w:numId w:val="5"/>
      </w:numPr>
      <w:contextualSpacing/>
    </w:pPr>
  </w:style>
  <w:style w:type="table" w:styleId="ListTable3-Accent6">
    <w:name w:val="List Table 3 Accent 6"/>
    <w:basedOn w:val="TableNormal"/>
    <w:uiPriority w:val="48"/>
    <w:rsid w:val="00450DE1"/>
    <w:pPr>
      <w:spacing w:after="0" w:line="240" w:lineRule="auto"/>
    </w:pPr>
    <w:tblPr>
      <w:tblStyleRowBandSize w:val="1"/>
      <w:tblStyleColBandSize w:val="1"/>
      <w:tblBorders>
        <w:top w:val="single" w:sz="4" w:space="0" w:color="46417E" w:themeColor="accent6"/>
        <w:left w:val="single" w:sz="4" w:space="0" w:color="46417E" w:themeColor="accent6"/>
        <w:bottom w:val="single" w:sz="4" w:space="0" w:color="46417E" w:themeColor="accent6"/>
        <w:right w:val="single" w:sz="4" w:space="0" w:color="46417E" w:themeColor="accent6"/>
      </w:tblBorders>
    </w:tblPr>
    <w:tblStylePr w:type="firstRow">
      <w:rPr>
        <w:b/>
        <w:bCs/>
        <w:color w:val="FFFFFF" w:themeColor="background1"/>
      </w:rPr>
      <w:tblPr/>
      <w:tcPr>
        <w:shd w:val="clear" w:color="auto" w:fill="46417E" w:themeFill="accent6"/>
      </w:tcPr>
    </w:tblStylePr>
    <w:tblStylePr w:type="lastRow">
      <w:rPr>
        <w:b/>
        <w:bCs/>
      </w:rPr>
      <w:tblPr/>
      <w:tcPr>
        <w:tcBorders>
          <w:top w:val="double" w:sz="4" w:space="0" w:color="46417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417E" w:themeColor="accent6"/>
          <w:right w:val="single" w:sz="4" w:space="0" w:color="46417E" w:themeColor="accent6"/>
        </w:tcBorders>
      </w:tcPr>
    </w:tblStylePr>
    <w:tblStylePr w:type="band1Horz">
      <w:tblPr/>
      <w:tcPr>
        <w:tcBorders>
          <w:top w:val="single" w:sz="4" w:space="0" w:color="46417E" w:themeColor="accent6"/>
          <w:bottom w:val="single" w:sz="4" w:space="0" w:color="46417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417E" w:themeColor="accent6"/>
          <w:left w:val="nil"/>
        </w:tcBorders>
      </w:tcPr>
    </w:tblStylePr>
    <w:tblStylePr w:type="swCell">
      <w:tblPr/>
      <w:tcPr>
        <w:tcBorders>
          <w:top w:val="double" w:sz="4" w:space="0" w:color="46417E" w:themeColor="accent6"/>
          <w:right w:val="nil"/>
        </w:tcBorders>
      </w:tcPr>
    </w:tblStylePr>
  </w:style>
  <w:style w:type="table" w:styleId="ListTable4-Accent5">
    <w:name w:val="List Table 4 Accent 5"/>
    <w:aliases w:val="DSS - Default striped table"/>
    <w:basedOn w:val="TableNormal"/>
    <w:uiPriority w:val="49"/>
    <w:rsid w:val="00450DE1"/>
    <w:pPr>
      <w:spacing w:after="0" w:line="240" w:lineRule="auto"/>
    </w:pPr>
    <w:rPr>
      <w:color w:val="454545" w:themeColor="text2"/>
      <w:sz w:val="22"/>
      <w14:numSpacing w14:val="tabular"/>
    </w:rPr>
    <w:tblPr>
      <w:tblStyleRowBandSize w:val="1"/>
      <w:tblStyleColBandSize w:val="1"/>
      <w:tblBorders>
        <w:bottom w:val="single" w:sz="6" w:space="0" w:color="FBB919"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4C41A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FBB919" w:themeColor="accent4"/>
          <w:right w:val="nil"/>
          <w:insideH w:val="nil"/>
          <w:insideV w:val="nil"/>
        </w:tcBorders>
        <w:shd w:val="clear" w:color="auto" w:fill="F8F8F8" w:themeFill="background2"/>
      </w:tcPr>
    </w:tblStylePr>
    <w:tblStylePr w:type="band2Horz">
      <w:tblPr/>
      <w:tcPr>
        <w:tcBorders>
          <w:bottom w:val="single" w:sz="6" w:space="0" w:color="FBB919" w:themeColor="accent4"/>
        </w:tcBorders>
      </w:tcPr>
    </w:tblStylePr>
  </w:style>
  <w:style w:type="table" w:customStyle="1" w:styleId="MACtable">
    <w:name w:val="MAC table"/>
    <w:basedOn w:val="TableNormal"/>
    <w:uiPriority w:val="99"/>
    <w:rsid w:val="00450DE1"/>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0DE1"/>
    <w:pPr>
      <w:spacing w:after="0" w:line="240" w:lineRule="auto"/>
    </w:pPr>
  </w:style>
  <w:style w:type="character" w:customStyle="1" w:styleId="NoSpacingChar">
    <w:name w:val="No Spacing Char"/>
    <w:basedOn w:val="DefaultParagraphFont"/>
    <w:link w:val="NoSpacing"/>
    <w:uiPriority w:val="5"/>
    <w:rsid w:val="00450DE1"/>
    <w:rPr>
      <w:spacing w:val="3"/>
      <w:sz w:val="22"/>
    </w:rPr>
  </w:style>
  <w:style w:type="paragraph" w:styleId="NormalWeb">
    <w:name w:val="Normal (Web)"/>
    <w:basedOn w:val="Normal"/>
    <w:uiPriority w:val="99"/>
    <w:semiHidden/>
    <w:unhideWhenUsed/>
    <w:rsid w:val="00450DE1"/>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0DE1"/>
    <w:rPr>
      <w:noProof/>
      <w:color w:val="4C41A0" w:themeColor="accent1"/>
      <w:sz w:val="18"/>
      <w:lang w:eastAsia="en-AU"/>
    </w:rPr>
  </w:style>
  <w:style w:type="paragraph" w:customStyle="1" w:styleId="PageNumber10">
    <w:name w:val="Page Number10"/>
    <w:basedOn w:val="Normal"/>
    <w:uiPriority w:val="1"/>
    <w:semiHidden/>
    <w:unhideWhenUsed/>
    <w:qFormat/>
    <w:rsid w:val="00450DE1"/>
    <w:rPr>
      <w:color w:val="4C41A0" w:themeColor="accent1"/>
      <w:sz w:val="18"/>
    </w:rPr>
  </w:style>
  <w:style w:type="table" w:styleId="PlainTable1">
    <w:name w:val="Plain Table 1"/>
    <w:basedOn w:val="TableNormal"/>
    <w:uiPriority w:val="41"/>
    <w:rsid w:val="00450D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Pullouttext">
    <w:name w:val="Blockquote / Pullout text"/>
    <w:basedOn w:val="Normal"/>
    <w:next w:val="Normal"/>
    <w:link w:val="BlockquotePullouttextChar"/>
    <w:uiPriority w:val="5"/>
    <w:qFormat/>
    <w:rsid w:val="00A50A61"/>
    <w:pPr>
      <w:keepLines/>
      <w:pBdr>
        <w:left w:val="single" w:sz="18" w:space="16" w:color="78519E"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PullouttextChar">
    <w:name w:val="Blockquote / Pullout text Char"/>
    <w:basedOn w:val="Heading2Char"/>
    <w:link w:val="BlockquotePullouttext"/>
    <w:uiPriority w:val="5"/>
    <w:rsid w:val="00A50A61"/>
    <w:rPr>
      <w:rFonts w:asciiTheme="majorHAnsi" w:eastAsia="Times New Roman" w:hAnsiTheme="majorHAnsi" w:cs="Arial"/>
      <w:b/>
      <w:bCs/>
      <w:iCs/>
      <w:color w:val="4C41A0" w:themeColor="accent1"/>
      <w:spacing w:val="3"/>
      <w:sz w:val="22"/>
      <w:szCs w:val="28"/>
      <w:shd w:val="clear" w:color="auto" w:fill="FFFFFF" w:themeFill="background1"/>
      <w:lang w:eastAsia="en-AU"/>
    </w:rPr>
  </w:style>
  <w:style w:type="paragraph" w:customStyle="1" w:styleId="Smalltext">
    <w:name w:val="Small text"/>
    <w:basedOn w:val="Normal"/>
    <w:unhideWhenUsed/>
    <w:rsid w:val="00450DE1"/>
    <w:pPr>
      <w:spacing w:line="240" w:lineRule="auto"/>
    </w:pPr>
    <w:rPr>
      <w:sz w:val="12"/>
      <w:szCs w:val="16"/>
      <w:lang w:val="en-US"/>
    </w:rPr>
  </w:style>
  <w:style w:type="character" w:styleId="Strong">
    <w:name w:val="Strong"/>
    <w:aliases w:val="Bold"/>
    <w:uiPriority w:val="22"/>
    <w:qFormat/>
    <w:rsid w:val="00450DE1"/>
    <w:rPr>
      <w:b/>
      <w:bCs/>
    </w:rPr>
  </w:style>
  <w:style w:type="numbering" w:customStyle="1" w:styleId="AusGovStyleManualList">
    <w:name w:val="AusGov Style Manual List"/>
    <w:uiPriority w:val="99"/>
    <w:rsid w:val="00E41ED7"/>
    <w:pPr>
      <w:numPr>
        <w:numId w:val="3"/>
      </w:numPr>
    </w:pPr>
  </w:style>
  <w:style w:type="table" w:styleId="TableGrid">
    <w:name w:val="Table Grid"/>
    <w:basedOn w:val="TableNormal"/>
    <w:uiPriority w:val="59"/>
    <w:rsid w:val="0045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0D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4C41A0" w:themeFill="accent1"/>
      </w:tcPr>
    </w:tblStylePr>
  </w:style>
  <w:style w:type="paragraph" w:customStyle="1" w:styleId="Tabletext-detailed">
    <w:name w:val="Table text - detailed"/>
    <w:basedOn w:val="NoSpacing"/>
    <w:uiPriority w:val="4"/>
    <w:qFormat/>
    <w:rsid w:val="00450DE1"/>
    <w:pPr>
      <w:spacing w:line="312" w:lineRule="auto"/>
    </w:pPr>
    <w:rPr>
      <w:sz w:val="20"/>
    </w:rPr>
  </w:style>
  <w:style w:type="paragraph" w:customStyle="1" w:styleId="TableChartheading">
    <w:name w:val="Table/Chart heading"/>
    <w:basedOn w:val="Caption"/>
    <w:next w:val="Normal"/>
    <w:uiPriority w:val="4"/>
    <w:qFormat/>
    <w:rsid w:val="00450DE1"/>
    <w:pPr>
      <w:spacing w:line="288" w:lineRule="auto"/>
    </w:pPr>
    <w:rPr>
      <w:rFonts w:asciiTheme="majorHAnsi" w:hAnsiTheme="majorHAnsi"/>
    </w:rPr>
  </w:style>
  <w:style w:type="paragraph" w:styleId="Title">
    <w:name w:val="Title"/>
    <w:basedOn w:val="Normal"/>
    <w:next w:val="Normal"/>
    <w:link w:val="TitleChar"/>
    <w:uiPriority w:val="10"/>
    <w:unhideWhenUsed/>
    <w:qFormat/>
    <w:rsid w:val="00450DE1"/>
    <w:pPr>
      <w:spacing w:before="1440" w:line="240" w:lineRule="auto"/>
      <w:contextualSpacing/>
    </w:pPr>
    <w:rPr>
      <w:rFonts w:asciiTheme="majorHAnsi" w:eastAsiaTheme="majorEastAsia" w:hAnsiTheme="majorHAnsi" w:cstheme="majorBidi"/>
      <w:color w:val="4C41A0" w:themeColor="accent1"/>
      <w:sz w:val="66"/>
      <w:szCs w:val="52"/>
    </w:rPr>
  </w:style>
  <w:style w:type="character" w:customStyle="1" w:styleId="TitleChar">
    <w:name w:val="Title Char"/>
    <w:basedOn w:val="DefaultParagraphFont"/>
    <w:link w:val="Title"/>
    <w:uiPriority w:val="10"/>
    <w:rsid w:val="00450DE1"/>
    <w:rPr>
      <w:rFonts w:asciiTheme="majorHAnsi" w:eastAsiaTheme="majorEastAsia" w:hAnsiTheme="majorHAnsi" w:cstheme="majorBidi"/>
      <w:color w:val="4C41A0" w:themeColor="accent1"/>
      <w:spacing w:val="3"/>
      <w:sz w:val="66"/>
      <w:szCs w:val="52"/>
    </w:rPr>
  </w:style>
  <w:style w:type="paragraph" w:customStyle="1" w:styleId="Titlepage">
    <w:name w:val="Title page"/>
    <w:basedOn w:val="Title"/>
    <w:semiHidden/>
    <w:rsid w:val="00450DE1"/>
    <w:pPr>
      <w:spacing w:before="4000"/>
      <w:jc w:val="center"/>
    </w:pPr>
    <w:rPr>
      <w:sz w:val="72"/>
    </w:rPr>
  </w:style>
  <w:style w:type="paragraph" w:styleId="TOC1">
    <w:name w:val="toc 1"/>
    <w:basedOn w:val="Normal"/>
    <w:next w:val="Normal"/>
    <w:autoRedefine/>
    <w:uiPriority w:val="39"/>
    <w:unhideWhenUsed/>
    <w:rsid w:val="00B56DEE"/>
    <w:pPr>
      <w:tabs>
        <w:tab w:val="right" w:leader="dot" w:pos="10194"/>
      </w:tabs>
      <w:spacing w:after="100"/>
    </w:pPr>
  </w:style>
  <w:style w:type="paragraph" w:styleId="TOC2">
    <w:name w:val="toc 2"/>
    <w:basedOn w:val="Normal"/>
    <w:next w:val="Normal"/>
    <w:autoRedefine/>
    <w:uiPriority w:val="39"/>
    <w:unhideWhenUsed/>
    <w:rsid w:val="00450DE1"/>
    <w:pPr>
      <w:spacing w:after="100"/>
      <w:ind w:left="200"/>
    </w:pPr>
  </w:style>
  <w:style w:type="paragraph" w:styleId="TOC3">
    <w:name w:val="toc 3"/>
    <w:basedOn w:val="Normal"/>
    <w:next w:val="Normal"/>
    <w:autoRedefine/>
    <w:uiPriority w:val="39"/>
    <w:unhideWhenUsed/>
    <w:rsid w:val="00450DE1"/>
    <w:pPr>
      <w:spacing w:after="100"/>
      <w:ind w:left="400"/>
    </w:pPr>
  </w:style>
  <w:style w:type="paragraph" w:styleId="TOCHeading">
    <w:name w:val="TOC Heading"/>
    <w:basedOn w:val="Normal"/>
    <w:next w:val="Normal"/>
    <w:uiPriority w:val="39"/>
    <w:unhideWhenUsed/>
    <w:qFormat/>
    <w:rsid w:val="00E2181C"/>
    <w:rPr>
      <w:b/>
      <w:color w:val="4C41A0" w:themeColor="accent1"/>
      <w:sz w:val="40"/>
    </w:rPr>
  </w:style>
  <w:style w:type="character" w:styleId="CommentReference">
    <w:name w:val="annotation reference"/>
    <w:basedOn w:val="DefaultParagraphFont"/>
    <w:uiPriority w:val="99"/>
    <w:semiHidden/>
    <w:unhideWhenUsed/>
    <w:rsid w:val="005261E6"/>
    <w:rPr>
      <w:sz w:val="16"/>
      <w:szCs w:val="16"/>
    </w:rPr>
  </w:style>
  <w:style w:type="paragraph" w:styleId="CommentText">
    <w:name w:val="annotation text"/>
    <w:basedOn w:val="Normal"/>
    <w:link w:val="CommentTextChar"/>
    <w:uiPriority w:val="99"/>
    <w:unhideWhenUsed/>
    <w:rsid w:val="005261E6"/>
    <w:pPr>
      <w:spacing w:line="240" w:lineRule="auto"/>
    </w:pPr>
    <w:rPr>
      <w:sz w:val="20"/>
      <w:szCs w:val="20"/>
    </w:rPr>
  </w:style>
  <w:style w:type="character" w:customStyle="1" w:styleId="CommentTextChar">
    <w:name w:val="Comment Text Char"/>
    <w:basedOn w:val="DefaultParagraphFont"/>
    <w:link w:val="CommentText"/>
    <w:uiPriority w:val="99"/>
    <w:rsid w:val="005261E6"/>
    <w:rPr>
      <w:spacing w:val="3"/>
      <w:sz w:val="20"/>
      <w:szCs w:val="20"/>
    </w:rPr>
  </w:style>
  <w:style w:type="paragraph" w:styleId="CommentSubject">
    <w:name w:val="annotation subject"/>
    <w:basedOn w:val="CommentText"/>
    <w:next w:val="CommentText"/>
    <w:link w:val="CommentSubjectChar"/>
    <w:uiPriority w:val="99"/>
    <w:semiHidden/>
    <w:unhideWhenUsed/>
    <w:rsid w:val="005261E6"/>
    <w:rPr>
      <w:b/>
      <w:bCs/>
    </w:rPr>
  </w:style>
  <w:style w:type="character" w:customStyle="1" w:styleId="CommentSubjectChar">
    <w:name w:val="Comment Subject Char"/>
    <w:basedOn w:val="CommentTextChar"/>
    <w:link w:val="CommentSubject"/>
    <w:uiPriority w:val="99"/>
    <w:semiHidden/>
    <w:rsid w:val="005261E6"/>
    <w:rPr>
      <w:b/>
      <w:bCs/>
      <w:spacing w:val="3"/>
      <w:sz w:val="20"/>
      <w:szCs w:val="20"/>
    </w:rPr>
  </w:style>
  <w:style w:type="paragraph" w:styleId="Revision">
    <w:name w:val="Revision"/>
    <w:hidden/>
    <w:uiPriority w:val="99"/>
    <w:semiHidden/>
    <w:rsid w:val="00807AA2"/>
    <w:pPr>
      <w:spacing w:after="0" w:line="240" w:lineRule="auto"/>
    </w:pPr>
    <w:rPr>
      <w:spacing w:val="3"/>
      <w:sz w:val="22"/>
    </w:rPr>
  </w:style>
  <w:style w:type="paragraph" w:styleId="TableofFigures">
    <w:name w:val="table of figures"/>
    <w:basedOn w:val="Normal"/>
    <w:next w:val="Normal"/>
    <w:uiPriority w:val="99"/>
    <w:unhideWhenUsed/>
    <w:rsid w:val="00F07ED1"/>
    <w:pPr>
      <w:spacing w:after="0"/>
      <w:ind w:left="440" w:hanging="440"/>
    </w:pPr>
    <w:rPr>
      <w:rFonts w:cstheme="minorHAnsi"/>
      <w:b/>
      <w:bCs/>
      <w:sz w:val="20"/>
      <w:szCs w:val="20"/>
    </w:rPr>
  </w:style>
  <w:style w:type="character" w:styleId="Mention">
    <w:name w:val="Mention"/>
    <w:basedOn w:val="DefaultParagraphFont"/>
    <w:uiPriority w:val="99"/>
    <w:unhideWhenUsed/>
    <w:rsid w:val="006E2ACE"/>
    <w:rPr>
      <w:color w:val="2B579A"/>
      <w:shd w:val="clear" w:color="auto" w:fill="E1DFDD"/>
    </w:rPr>
  </w:style>
  <w:style w:type="paragraph" w:customStyle="1" w:styleId="Tableimagenote">
    <w:name w:val="Table/image note"/>
    <w:basedOn w:val="Normal"/>
    <w:next w:val="Normal"/>
    <w:uiPriority w:val="4"/>
    <w:qFormat/>
    <w:rsid w:val="00CB3627"/>
    <w:pPr>
      <w:spacing w:before="120"/>
      <w:contextualSpacing/>
    </w:pPr>
    <w:rPr>
      <w:color w:val="595959" w:themeColor="text1" w:themeTint="A6"/>
      <w:sz w:val="20"/>
    </w:rPr>
  </w:style>
  <w:style w:type="paragraph" w:styleId="ListNumber">
    <w:name w:val="List Number"/>
    <w:basedOn w:val="Normal"/>
    <w:uiPriority w:val="99"/>
    <w:unhideWhenUsed/>
    <w:qFormat/>
    <w:rsid w:val="00041D69"/>
    <w:pPr>
      <w:numPr>
        <w:numId w:val="4"/>
      </w:numPr>
      <w:contextualSpacing/>
    </w:pPr>
  </w:style>
  <w:style w:type="character" w:styleId="UnresolvedMention">
    <w:name w:val="Unresolved Mention"/>
    <w:basedOn w:val="DefaultParagraphFont"/>
    <w:uiPriority w:val="99"/>
    <w:semiHidden/>
    <w:unhideWhenUsed/>
    <w:rsid w:val="00A438DE"/>
    <w:rPr>
      <w:color w:val="605E5C"/>
      <w:shd w:val="clear" w:color="auto" w:fill="E1DFDD"/>
    </w:rPr>
  </w:style>
  <w:style w:type="paragraph" w:styleId="FootnoteText">
    <w:name w:val="footnote text"/>
    <w:basedOn w:val="Normal"/>
    <w:link w:val="FootnoteTextChar"/>
    <w:uiPriority w:val="99"/>
    <w:rsid w:val="00355BEC"/>
    <w:pPr>
      <w:spacing w:after="0" w:line="240" w:lineRule="auto"/>
    </w:pPr>
    <w:rPr>
      <w:rFonts w:ascii="Arial" w:eastAsia="Times New Roman" w:hAnsi="Arial" w:cs="Times New Roman"/>
      <w:spacing w:val="4"/>
      <w:sz w:val="16"/>
      <w:szCs w:val="20"/>
      <w:lang w:eastAsia="en-AU"/>
    </w:rPr>
  </w:style>
  <w:style w:type="character" w:customStyle="1" w:styleId="FootnoteTextChar">
    <w:name w:val="Footnote Text Char"/>
    <w:basedOn w:val="DefaultParagraphFont"/>
    <w:link w:val="FootnoteText"/>
    <w:uiPriority w:val="99"/>
    <w:rsid w:val="00355BEC"/>
    <w:rPr>
      <w:rFonts w:ascii="Arial" w:eastAsia="Times New Roman" w:hAnsi="Arial" w:cs="Times New Roman"/>
      <w:spacing w:val="4"/>
      <w:sz w:val="16"/>
      <w:szCs w:val="20"/>
      <w:lang w:eastAsia="en-AU"/>
    </w:rPr>
  </w:style>
  <w:style w:type="character" w:styleId="FootnoteReference">
    <w:name w:val="footnote reference"/>
    <w:basedOn w:val="DefaultParagraphFont"/>
    <w:uiPriority w:val="99"/>
    <w:rsid w:val="002B2A21"/>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rsid w:val="002B2A21"/>
    <w:rPr>
      <w:spacing w:val="3"/>
      <w:sz w:val="22"/>
    </w:rPr>
  </w:style>
  <w:style w:type="table" w:styleId="PlainTable4">
    <w:name w:val="Plain Table 4"/>
    <w:basedOn w:val="TableNormal"/>
    <w:uiPriority w:val="44"/>
    <w:rsid w:val="00951524"/>
    <w:pPr>
      <w:spacing w:after="0" w:line="240" w:lineRule="auto"/>
    </w:pPr>
    <w:rPr>
      <w:kern w:val="2"/>
      <w:sz w:val="22"/>
      <w:szCs w:val="2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1258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5857"/>
    <w:rPr>
      <w:spacing w:val="3"/>
      <w:sz w:val="20"/>
      <w:szCs w:val="20"/>
    </w:rPr>
  </w:style>
  <w:style w:type="character" w:styleId="EndnoteReference">
    <w:name w:val="endnote reference"/>
    <w:basedOn w:val="DefaultParagraphFont"/>
    <w:uiPriority w:val="99"/>
    <w:semiHidden/>
    <w:unhideWhenUsed/>
    <w:rsid w:val="00125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5651">
      <w:bodyDiv w:val="1"/>
      <w:marLeft w:val="0"/>
      <w:marRight w:val="0"/>
      <w:marTop w:val="0"/>
      <w:marBottom w:val="0"/>
      <w:divBdr>
        <w:top w:val="none" w:sz="0" w:space="0" w:color="auto"/>
        <w:left w:val="none" w:sz="0" w:space="0" w:color="auto"/>
        <w:bottom w:val="none" w:sz="0" w:space="0" w:color="auto"/>
        <w:right w:val="none" w:sz="0" w:space="0" w:color="auto"/>
      </w:divBdr>
    </w:div>
    <w:div w:id="198323585">
      <w:bodyDiv w:val="1"/>
      <w:marLeft w:val="0"/>
      <w:marRight w:val="0"/>
      <w:marTop w:val="0"/>
      <w:marBottom w:val="0"/>
      <w:divBdr>
        <w:top w:val="none" w:sz="0" w:space="0" w:color="auto"/>
        <w:left w:val="none" w:sz="0" w:space="0" w:color="auto"/>
        <w:bottom w:val="none" w:sz="0" w:space="0" w:color="auto"/>
        <w:right w:val="none" w:sz="0" w:space="0" w:color="auto"/>
      </w:divBdr>
    </w:div>
    <w:div w:id="214968165">
      <w:bodyDiv w:val="1"/>
      <w:marLeft w:val="0"/>
      <w:marRight w:val="0"/>
      <w:marTop w:val="0"/>
      <w:marBottom w:val="0"/>
      <w:divBdr>
        <w:top w:val="none" w:sz="0" w:space="0" w:color="auto"/>
        <w:left w:val="none" w:sz="0" w:space="0" w:color="auto"/>
        <w:bottom w:val="none" w:sz="0" w:space="0" w:color="auto"/>
        <w:right w:val="none" w:sz="0" w:space="0" w:color="auto"/>
      </w:divBdr>
    </w:div>
    <w:div w:id="220749449">
      <w:bodyDiv w:val="1"/>
      <w:marLeft w:val="0"/>
      <w:marRight w:val="0"/>
      <w:marTop w:val="0"/>
      <w:marBottom w:val="0"/>
      <w:divBdr>
        <w:top w:val="none" w:sz="0" w:space="0" w:color="auto"/>
        <w:left w:val="none" w:sz="0" w:space="0" w:color="auto"/>
        <w:bottom w:val="none" w:sz="0" w:space="0" w:color="auto"/>
        <w:right w:val="none" w:sz="0" w:space="0" w:color="auto"/>
      </w:divBdr>
    </w:div>
    <w:div w:id="255597680">
      <w:bodyDiv w:val="1"/>
      <w:marLeft w:val="0"/>
      <w:marRight w:val="0"/>
      <w:marTop w:val="0"/>
      <w:marBottom w:val="0"/>
      <w:divBdr>
        <w:top w:val="none" w:sz="0" w:space="0" w:color="auto"/>
        <w:left w:val="none" w:sz="0" w:space="0" w:color="auto"/>
        <w:bottom w:val="none" w:sz="0" w:space="0" w:color="auto"/>
        <w:right w:val="none" w:sz="0" w:space="0" w:color="auto"/>
      </w:divBdr>
    </w:div>
    <w:div w:id="371223770">
      <w:bodyDiv w:val="1"/>
      <w:marLeft w:val="0"/>
      <w:marRight w:val="0"/>
      <w:marTop w:val="0"/>
      <w:marBottom w:val="0"/>
      <w:divBdr>
        <w:top w:val="none" w:sz="0" w:space="0" w:color="auto"/>
        <w:left w:val="none" w:sz="0" w:space="0" w:color="auto"/>
        <w:bottom w:val="none" w:sz="0" w:space="0" w:color="auto"/>
        <w:right w:val="none" w:sz="0" w:space="0" w:color="auto"/>
      </w:divBdr>
    </w:div>
    <w:div w:id="407922331">
      <w:bodyDiv w:val="1"/>
      <w:marLeft w:val="0"/>
      <w:marRight w:val="0"/>
      <w:marTop w:val="0"/>
      <w:marBottom w:val="0"/>
      <w:divBdr>
        <w:top w:val="none" w:sz="0" w:space="0" w:color="auto"/>
        <w:left w:val="none" w:sz="0" w:space="0" w:color="auto"/>
        <w:bottom w:val="none" w:sz="0" w:space="0" w:color="auto"/>
        <w:right w:val="none" w:sz="0" w:space="0" w:color="auto"/>
      </w:divBdr>
    </w:div>
    <w:div w:id="463819310">
      <w:bodyDiv w:val="1"/>
      <w:marLeft w:val="0"/>
      <w:marRight w:val="0"/>
      <w:marTop w:val="0"/>
      <w:marBottom w:val="0"/>
      <w:divBdr>
        <w:top w:val="none" w:sz="0" w:space="0" w:color="auto"/>
        <w:left w:val="none" w:sz="0" w:space="0" w:color="auto"/>
        <w:bottom w:val="none" w:sz="0" w:space="0" w:color="auto"/>
        <w:right w:val="none" w:sz="0" w:space="0" w:color="auto"/>
      </w:divBdr>
      <w:divsChild>
        <w:div w:id="1472213016">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50208705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58595025">
      <w:bodyDiv w:val="1"/>
      <w:marLeft w:val="0"/>
      <w:marRight w:val="0"/>
      <w:marTop w:val="0"/>
      <w:marBottom w:val="0"/>
      <w:divBdr>
        <w:top w:val="none" w:sz="0" w:space="0" w:color="auto"/>
        <w:left w:val="none" w:sz="0" w:space="0" w:color="auto"/>
        <w:bottom w:val="none" w:sz="0" w:space="0" w:color="auto"/>
        <w:right w:val="none" w:sz="0" w:space="0" w:color="auto"/>
      </w:divBdr>
    </w:div>
    <w:div w:id="564493487">
      <w:bodyDiv w:val="1"/>
      <w:marLeft w:val="0"/>
      <w:marRight w:val="0"/>
      <w:marTop w:val="0"/>
      <w:marBottom w:val="0"/>
      <w:divBdr>
        <w:top w:val="none" w:sz="0" w:space="0" w:color="auto"/>
        <w:left w:val="none" w:sz="0" w:space="0" w:color="auto"/>
        <w:bottom w:val="none" w:sz="0" w:space="0" w:color="auto"/>
        <w:right w:val="none" w:sz="0" w:space="0" w:color="auto"/>
      </w:divBdr>
    </w:div>
    <w:div w:id="668798723">
      <w:bodyDiv w:val="1"/>
      <w:marLeft w:val="0"/>
      <w:marRight w:val="0"/>
      <w:marTop w:val="0"/>
      <w:marBottom w:val="0"/>
      <w:divBdr>
        <w:top w:val="none" w:sz="0" w:space="0" w:color="auto"/>
        <w:left w:val="none" w:sz="0" w:space="0" w:color="auto"/>
        <w:bottom w:val="none" w:sz="0" w:space="0" w:color="auto"/>
        <w:right w:val="none" w:sz="0" w:space="0" w:color="auto"/>
      </w:divBdr>
    </w:div>
    <w:div w:id="685325510">
      <w:bodyDiv w:val="1"/>
      <w:marLeft w:val="0"/>
      <w:marRight w:val="0"/>
      <w:marTop w:val="0"/>
      <w:marBottom w:val="0"/>
      <w:divBdr>
        <w:top w:val="none" w:sz="0" w:space="0" w:color="auto"/>
        <w:left w:val="none" w:sz="0" w:space="0" w:color="auto"/>
        <w:bottom w:val="none" w:sz="0" w:space="0" w:color="auto"/>
        <w:right w:val="none" w:sz="0" w:space="0" w:color="auto"/>
      </w:divBdr>
    </w:div>
    <w:div w:id="734202950">
      <w:bodyDiv w:val="1"/>
      <w:marLeft w:val="0"/>
      <w:marRight w:val="0"/>
      <w:marTop w:val="0"/>
      <w:marBottom w:val="0"/>
      <w:divBdr>
        <w:top w:val="none" w:sz="0" w:space="0" w:color="auto"/>
        <w:left w:val="none" w:sz="0" w:space="0" w:color="auto"/>
        <w:bottom w:val="none" w:sz="0" w:space="0" w:color="auto"/>
        <w:right w:val="none" w:sz="0" w:space="0" w:color="auto"/>
      </w:divBdr>
    </w:div>
    <w:div w:id="789010648">
      <w:bodyDiv w:val="1"/>
      <w:marLeft w:val="0"/>
      <w:marRight w:val="0"/>
      <w:marTop w:val="0"/>
      <w:marBottom w:val="0"/>
      <w:divBdr>
        <w:top w:val="none" w:sz="0" w:space="0" w:color="auto"/>
        <w:left w:val="none" w:sz="0" w:space="0" w:color="auto"/>
        <w:bottom w:val="none" w:sz="0" w:space="0" w:color="auto"/>
        <w:right w:val="none" w:sz="0" w:space="0" w:color="auto"/>
      </w:divBdr>
    </w:div>
    <w:div w:id="828207269">
      <w:bodyDiv w:val="1"/>
      <w:marLeft w:val="0"/>
      <w:marRight w:val="0"/>
      <w:marTop w:val="0"/>
      <w:marBottom w:val="0"/>
      <w:divBdr>
        <w:top w:val="none" w:sz="0" w:space="0" w:color="auto"/>
        <w:left w:val="none" w:sz="0" w:space="0" w:color="auto"/>
        <w:bottom w:val="none" w:sz="0" w:space="0" w:color="auto"/>
        <w:right w:val="none" w:sz="0" w:space="0" w:color="auto"/>
      </w:divBdr>
      <w:divsChild>
        <w:div w:id="1366443057">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860822650">
      <w:bodyDiv w:val="1"/>
      <w:marLeft w:val="0"/>
      <w:marRight w:val="0"/>
      <w:marTop w:val="0"/>
      <w:marBottom w:val="0"/>
      <w:divBdr>
        <w:top w:val="none" w:sz="0" w:space="0" w:color="auto"/>
        <w:left w:val="none" w:sz="0" w:space="0" w:color="auto"/>
        <w:bottom w:val="none" w:sz="0" w:space="0" w:color="auto"/>
        <w:right w:val="none" w:sz="0" w:space="0" w:color="auto"/>
      </w:divBdr>
    </w:div>
    <w:div w:id="967392717">
      <w:bodyDiv w:val="1"/>
      <w:marLeft w:val="0"/>
      <w:marRight w:val="0"/>
      <w:marTop w:val="0"/>
      <w:marBottom w:val="0"/>
      <w:divBdr>
        <w:top w:val="none" w:sz="0" w:space="0" w:color="auto"/>
        <w:left w:val="none" w:sz="0" w:space="0" w:color="auto"/>
        <w:bottom w:val="none" w:sz="0" w:space="0" w:color="auto"/>
        <w:right w:val="none" w:sz="0" w:space="0" w:color="auto"/>
      </w:divBdr>
    </w:div>
    <w:div w:id="1241020496">
      <w:bodyDiv w:val="1"/>
      <w:marLeft w:val="0"/>
      <w:marRight w:val="0"/>
      <w:marTop w:val="0"/>
      <w:marBottom w:val="0"/>
      <w:divBdr>
        <w:top w:val="none" w:sz="0" w:space="0" w:color="auto"/>
        <w:left w:val="none" w:sz="0" w:space="0" w:color="auto"/>
        <w:bottom w:val="none" w:sz="0" w:space="0" w:color="auto"/>
        <w:right w:val="none" w:sz="0" w:space="0" w:color="auto"/>
      </w:divBdr>
    </w:div>
    <w:div w:id="1278752152">
      <w:bodyDiv w:val="1"/>
      <w:marLeft w:val="0"/>
      <w:marRight w:val="0"/>
      <w:marTop w:val="0"/>
      <w:marBottom w:val="0"/>
      <w:divBdr>
        <w:top w:val="none" w:sz="0" w:space="0" w:color="auto"/>
        <w:left w:val="none" w:sz="0" w:space="0" w:color="auto"/>
        <w:bottom w:val="none" w:sz="0" w:space="0" w:color="auto"/>
        <w:right w:val="none" w:sz="0" w:space="0" w:color="auto"/>
      </w:divBdr>
    </w:div>
    <w:div w:id="1358198248">
      <w:bodyDiv w:val="1"/>
      <w:marLeft w:val="0"/>
      <w:marRight w:val="0"/>
      <w:marTop w:val="0"/>
      <w:marBottom w:val="0"/>
      <w:divBdr>
        <w:top w:val="none" w:sz="0" w:space="0" w:color="auto"/>
        <w:left w:val="none" w:sz="0" w:space="0" w:color="auto"/>
        <w:bottom w:val="none" w:sz="0" w:space="0" w:color="auto"/>
        <w:right w:val="none" w:sz="0" w:space="0" w:color="auto"/>
      </w:divBdr>
    </w:div>
    <w:div w:id="1436974110">
      <w:bodyDiv w:val="1"/>
      <w:marLeft w:val="0"/>
      <w:marRight w:val="0"/>
      <w:marTop w:val="0"/>
      <w:marBottom w:val="0"/>
      <w:divBdr>
        <w:top w:val="none" w:sz="0" w:space="0" w:color="auto"/>
        <w:left w:val="none" w:sz="0" w:space="0" w:color="auto"/>
        <w:bottom w:val="none" w:sz="0" w:space="0" w:color="auto"/>
        <w:right w:val="none" w:sz="0" w:space="0" w:color="auto"/>
      </w:divBdr>
    </w:div>
    <w:div w:id="1573126771">
      <w:bodyDiv w:val="1"/>
      <w:marLeft w:val="0"/>
      <w:marRight w:val="0"/>
      <w:marTop w:val="0"/>
      <w:marBottom w:val="0"/>
      <w:divBdr>
        <w:top w:val="none" w:sz="0" w:space="0" w:color="auto"/>
        <w:left w:val="none" w:sz="0" w:space="0" w:color="auto"/>
        <w:bottom w:val="none" w:sz="0" w:space="0" w:color="auto"/>
        <w:right w:val="none" w:sz="0" w:space="0" w:color="auto"/>
      </w:divBdr>
      <w:divsChild>
        <w:div w:id="1543906313">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1588927092">
      <w:bodyDiv w:val="1"/>
      <w:marLeft w:val="0"/>
      <w:marRight w:val="0"/>
      <w:marTop w:val="0"/>
      <w:marBottom w:val="0"/>
      <w:divBdr>
        <w:top w:val="none" w:sz="0" w:space="0" w:color="auto"/>
        <w:left w:val="none" w:sz="0" w:space="0" w:color="auto"/>
        <w:bottom w:val="none" w:sz="0" w:space="0" w:color="auto"/>
        <w:right w:val="none" w:sz="0" w:space="0" w:color="auto"/>
      </w:divBdr>
      <w:divsChild>
        <w:div w:id="152332918">
          <w:marLeft w:val="0"/>
          <w:marRight w:val="0"/>
          <w:marTop w:val="0"/>
          <w:marBottom w:val="0"/>
          <w:divBdr>
            <w:top w:val="single" w:sz="6" w:space="0" w:color="D6D8DB"/>
            <w:left w:val="single" w:sz="6" w:space="0" w:color="D6D8DB"/>
            <w:bottom w:val="single" w:sz="6" w:space="0" w:color="D6D8DB"/>
            <w:right w:val="single" w:sz="6" w:space="0" w:color="D6D8DB"/>
          </w:divBdr>
        </w:div>
      </w:divsChild>
    </w:div>
    <w:div w:id="1751080381">
      <w:bodyDiv w:val="1"/>
      <w:marLeft w:val="0"/>
      <w:marRight w:val="0"/>
      <w:marTop w:val="0"/>
      <w:marBottom w:val="0"/>
      <w:divBdr>
        <w:top w:val="none" w:sz="0" w:space="0" w:color="auto"/>
        <w:left w:val="none" w:sz="0" w:space="0" w:color="auto"/>
        <w:bottom w:val="none" w:sz="0" w:space="0" w:color="auto"/>
        <w:right w:val="none" w:sz="0" w:space="0" w:color="auto"/>
      </w:divBdr>
    </w:div>
    <w:div w:id="1792043226">
      <w:bodyDiv w:val="1"/>
      <w:marLeft w:val="0"/>
      <w:marRight w:val="0"/>
      <w:marTop w:val="0"/>
      <w:marBottom w:val="0"/>
      <w:divBdr>
        <w:top w:val="none" w:sz="0" w:space="0" w:color="auto"/>
        <w:left w:val="none" w:sz="0" w:space="0" w:color="auto"/>
        <w:bottom w:val="none" w:sz="0" w:space="0" w:color="auto"/>
        <w:right w:val="none" w:sz="0" w:space="0" w:color="auto"/>
      </w:divBdr>
      <w:divsChild>
        <w:div w:id="150830895">
          <w:marLeft w:val="446"/>
          <w:marRight w:val="0"/>
          <w:marTop w:val="0"/>
          <w:marBottom w:val="360"/>
          <w:divBdr>
            <w:top w:val="none" w:sz="0" w:space="0" w:color="auto"/>
            <w:left w:val="none" w:sz="0" w:space="0" w:color="auto"/>
            <w:bottom w:val="none" w:sz="0" w:space="0" w:color="auto"/>
            <w:right w:val="none" w:sz="0" w:space="0" w:color="auto"/>
          </w:divBdr>
        </w:div>
        <w:div w:id="156387546">
          <w:marLeft w:val="446"/>
          <w:marRight w:val="0"/>
          <w:marTop w:val="0"/>
          <w:marBottom w:val="120"/>
          <w:divBdr>
            <w:top w:val="none" w:sz="0" w:space="0" w:color="auto"/>
            <w:left w:val="none" w:sz="0" w:space="0" w:color="auto"/>
            <w:bottom w:val="none" w:sz="0" w:space="0" w:color="auto"/>
            <w:right w:val="none" w:sz="0" w:space="0" w:color="auto"/>
          </w:divBdr>
        </w:div>
      </w:divsChild>
    </w:div>
    <w:div w:id="1880388162">
      <w:bodyDiv w:val="1"/>
      <w:marLeft w:val="0"/>
      <w:marRight w:val="0"/>
      <w:marTop w:val="0"/>
      <w:marBottom w:val="0"/>
      <w:divBdr>
        <w:top w:val="none" w:sz="0" w:space="0" w:color="auto"/>
        <w:left w:val="none" w:sz="0" w:space="0" w:color="auto"/>
        <w:bottom w:val="none" w:sz="0" w:space="0" w:color="auto"/>
        <w:right w:val="none" w:sz="0" w:space="0" w:color="auto"/>
      </w:divBdr>
    </w:div>
    <w:div w:id="1898592211">
      <w:bodyDiv w:val="1"/>
      <w:marLeft w:val="0"/>
      <w:marRight w:val="0"/>
      <w:marTop w:val="0"/>
      <w:marBottom w:val="0"/>
      <w:divBdr>
        <w:top w:val="none" w:sz="0" w:space="0" w:color="auto"/>
        <w:left w:val="none" w:sz="0" w:space="0" w:color="auto"/>
        <w:bottom w:val="none" w:sz="0" w:space="0" w:color="auto"/>
        <w:right w:val="none" w:sz="0" w:space="0" w:color="auto"/>
      </w:divBdr>
    </w:div>
    <w:div w:id="1986424528">
      <w:bodyDiv w:val="1"/>
      <w:marLeft w:val="0"/>
      <w:marRight w:val="0"/>
      <w:marTop w:val="0"/>
      <w:marBottom w:val="0"/>
      <w:divBdr>
        <w:top w:val="none" w:sz="0" w:space="0" w:color="auto"/>
        <w:left w:val="none" w:sz="0" w:space="0" w:color="auto"/>
        <w:bottom w:val="none" w:sz="0" w:space="0" w:color="auto"/>
        <w:right w:val="none" w:sz="0" w:space="0" w:color="auto"/>
      </w:divBdr>
    </w:div>
    <w:div w:id="2033023440">
      <w:bodyDiv w:val="1"/>
      <w:marLeft w:val="0"/>
      <w:marRight w:val="0"/>
      <w:marTop w:val="0"/>
      <w:marBottom w:val="0"/>
      <w:divBdr>
        <w:top w:val="none" w:sz="0" w:space="0" w:color="auto"/>
        <w:left w:val="none" w:sz="0" w:space="0" w:color="auto"/>
        <w:bottom w:val="none" w:sz="0" w:space="0" w:color="auto"/>
        <w:right w:val="none" w:sz="0" w:space="0" w:color="auto"/>
      </w:divBdr>
    </w:div>
    <w:div w:id="21005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ihw.gov.au/reports/youth-justice/youth-detention-population-in-australia-2024/contents/first-nations-young-people/key-findings" TargetMode="External"/><Relationship Id="rId3" Type="http://schemas.openxmlformats.org/officeDocument/2006/relationships/hyperlink" Target="https://www.aihw.gov.au/reports/youth-justice/youth-detention-population-in-australia-2024/contents/first-nations-young-people/key-findings" TargetMode="External"/><Relationship Id="rId7" Type="http://schemas.openxmlformats.org/officeDocument/2006/relationships/hyperlink" Target="https://www.snaicc.org.au/resources/early-childhood-care-and-development-policy-partnership-annual-report-2023/" TargetMode="External"/><Relationship Id="rId2" Type="http://schemas.openxmlformats.org/officeDocument/2006/relationships/hyperlink" Target="https://www.aihw.gov.au/reports/child-protection/child-protection-australia-2022-23/contents/about" TargetMode="External"/><Relationship Id="rId1" Type="http://schemas.openxmlformats.org/officeDocument/2006/relationships/hyperlink" Target="https://www.legislation.gov.au/C2024G00584/asmade/text" TargetMode="External"/><Relationship Id="rId6" Type="http://schemas.openxmlformats.org/officeDocument/2006/relationships/hyperlink" Target="https://www.dss.gov.au/system/files/resources/final_aboriginal_and_torres_strait_islander_first_action_plan.pdf" TargetMode="External"/><Relationship Id="rId11" Type="http://schemas.openxmlformats.org/officeDocument/2006/relationships/hyperlink" Target="https://humanrights.gov.au/our-work/childrens-rights/projects/supporting-quality-engagement-children" TargetMode="External"/><Relationship Id="rId5" Type="http://schemas.openxmlformats.org/officeDocument/2006/relationships/hyperlink" Target="https://www.dss.gov.au/aboriginal-and-torres-strait-islander-leadership-group" TargetMode="External"/><Relationship Id="rId10" Type="http://schemas.openxmlformats.org/officeDocument/2006/relationships/hyperlink" Target="https://www.education.gov.au/closing-the-gap/closing-gap-early-childhood/early-childhood-care-and-development-policy-partnership" TargetMode="External"/><Relationship Id="rId4" Type="http://schemas.openxmlformats.org/officeDocument/2006/relationships/hyperlink" Target="https://www.pc.gov.au/closing-the-gap-data/dashboard/se/outcome-area12/out-of-home-care" TargetMode="External"/><Relationship Id="rId9" Type="http://schemas.openxmlformats.org/officeDocument/2006/relationships/hyperlink" Target="https://www.dss.gov.au/aboriginal-and-torres-strait-islander-leadership-group" TargetMode="External"/></Relationships>
</file>

<file path=word/theme/theme1.xml><?xml version="1.0" encoding="utf-8"?>
<a:theme xmlns:a="http://schemas.openxmlformats.org/drawingml/2006/main" name="NCATSICYP">
  <a:themeElements>
    <a:clrScheme name="NCATSICYP">
      <a:dk1>
        <a:srgbClr val="000000"/>
      </a:dk1>
      <a:lt1>
        <a:srgbClr val="FFFFFF"/>
      </a:lt1>
      <a:dk2>
        <a:srgbClr val="454545"/>
      </a:dk2>
      <a:lt2>
        <a:srgbClr val="F8F8F8"/>
      </a:lt2>
      <a:accent1>
        <a:srgbClr val="4C41A0"/>
      </a:accent1>
      <a:accent2>
        <a:srgbClr val="78519E"/>
      </a:accent2>
      <a:accent3>
        <a:srgbClr val="ABA8CE"/>
      </a:accent3>
      <a:accent4>
        <a:srgbClr val="FBB919"/>
      </a:accent4>
      <a:accent5>
        <a:srgbClr val="34305F"/>
      </a:accent5>
      <a:accent6>
        <a:srgbClr val="46417E"/>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11" ma:contentTypeDescription="Create a new document." ma:contentTypeScope="" ma:versionID="dc749470eb8213717a1be4d7c1b40bd4">
  <xsd:schema xmlns:xsd="http://www.w3.org/2001/XMLSchema" xmlns:xs="http://www.w3.org/2001/XMLSchema" xmlns:p="http://schemas.microsoft.com/office/2006/metadata/properties" xmlns:ns2="8523546c-af22-4d02-a47d-9b5b2a51f7ec" xmlns:ns3="cc8c9c71-d856-4691-9063-a8af247ca0df" targetNamespace="http://schemas.microsoft.com/office/2006/metadata/properties" ma:root="true" ma:fieldsID="6096fd98417a47c6a69fff75a7848e29" ns2:_="" ns3:_="">
    <xsd:import namespace="8523546c-af22-4d02-a47d-9b5b2a51f7ec"/>
    <xsd:import namespace="cc8c9c71-d856-4691-9063-a8af247ca0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c9c71-d856-4691-9063-a8af247ca0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9bf753-31fa-471a-ab0a-189aba012323}" ma:internalName="TaxCatchAll" ma:showField="CatchAllData" ma:web="cc8c9c71-d856-4691-9063-a8af247ca0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8c9c71-d856-4691-9063-a8af247ca0df" xsi:nil="true"/>
    <lcf76f155ced4ddcb4097134ff3c332f xmlns="8523546c-af22-4d02-a47d-9b5b2a51f7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772835-2493-4C3D-BA08-F8715073C07F}">
  <ds:schemaRefs>
    <ds:schemaRef ds:uri="http://schemas.openxmlformats.org/officeDocument/2006/bibliography"/>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4F9BCB4A-2151-45B4-BF7B-873E82610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cc8c9c71-d856-4691-9063-a8af247ca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cc8c9c71-d856-4691-9063-a8af247ca0df"/>
    <ds:schemaRef ds:uri="8523546c-af22-4d02-a47d-9b5b2a51f7ec"/>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19</Pages>
  <Words>5424</Words>
  <Characters>32762</Characters>
  <Application>Microsoft Office Word</Application>
  <DocSecurity>0</DocSecurity>
  <Lines>564</Lines>
  <Paragraphs>218</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37968</CharactersWithSpaces>
  <SharedDoc>false</SharedDoc>
  <HLinks>
    <vt:vector size="162" baseType="variant">
      <vt:variant>
        <vt:i4>1572927</vt:i4>
      </vt:variant>
      <vt:variant>
        <vt:i4>92</vt:i4>
      </vt:variant>
      <vt:variant>
        <vt:i4>0</vt:i4>
      </vt:variant>
      <vt:variant>
        <vt:i4>5</vt:i4>
      </vt:variant>
      <vt:variant>
        <vt:lpwstr/>
      </vt:variant>
      <vt:variant>
        <vt:lpwstr>_Toc199233479</vt:lpwstr>
      </vt:variant>
      <vt:variant>
        <vt:i4>1572927</vt:i4>
      </vt:variant>
      <vt:variant>
        <vt:i4>86</vt:i4>
      </vt:variant>
      <vt:variant>
        <vt:i4>0</vt:i4>
      </vt:variant>
      <vt:variant>
        <vt:i4>5</vt:i4>
      </vt:variant>
      <vt:variant>
        <vt:lpwstr/>
      </vt:variant>
      <vt:variant>
        <vt:lpwstr>_Toc199233478</vt:lpwstr>
      </vt:variant>
      <vt:variant>
        <vt:i4>1572927</vt:i4>
      </vt:variant>
      <vt:variant>
        <vt:i4>80</vt:i4>
      </vt:variant>
      <vt:variant>
        <vt:i4>0</vt:i4>
      </vt:variant>
      <vt:variant>
        <vt:i4>5</vt:i4>
      </vt:variant>
      <vt:variant>
        <vt:lpwstr/>
      </vt:variant>
      <vt:variant>
        <vt:lpwstr>_Toc199233477</vt:lpwstr>
      </vt:variant>
      <vt:variant>
        <vt:i4>1572927</vt:i4>
      </vt:variant>
      <vt:variant>
        <vt:i4>74</vt:i4>
      </vt:variant>
      <vt:variant>
        <vt:i4>0</vt:i4>
      </vt:variant>
      <vt:variant>
        <vt:i4>5</vt:i4>
      </vt:variant>
      <vt:variant>
        <vt:lpwstr/>
      </vt:variant>
      <vt:variant>
        <vt:lpwstr>_Toc199233476</vt:lpwstr>
      </vt:variant>
      <vt:variant>
        <vt:i4>1572927</vt:i4>
      </vt:variant>
      <vt:variant>
        <vt:i4>68</vt:i4>
      </vt:variant>
      <vt:variant>
        <vt:i4>0</vt:i4>
      </vt:variant>
      <vt:variant>
        <vt:i4>5</vt:i4>
      </vt:variant>
      <vt:variant>
        <vt:lpwstr/>
      </vt:variant>
      <vt:variant>
        <vt:lpwstr>_Toc199233475</vt:lpwstr>
      </vt:variant>
      <vt:variant>
        <vt:i4>1572927</vt:i4>
      </vt:variant>
      <vt:variant>
        <vt:i4>62</vt:i4>
      </vt:variant>
      <vt:variant>
        <vt:i4>0</vt:i4>
      </vt:variant>
      <vt:variant>
        <vt:i4>5</vt:i4>
      </vt:variant>
      <vt:variant>
        <vt:lpwstr/>
      </vt:variant>
      <vt:variant>
        <vt:lpwstr>_Toc199233474</vt:lpwstr>
      </vt:variant>
      <vt:variant>
        <vt:i4>1572927</vt:i4>
      </vt:variant>
      <vt:variant>
        <vt:i4>56</vt:i4>
      </vt:variant>
      <vt:variant>
        <vt:i4>0</vt:i4>
      </vt:variant>
      <vt:variant>
        <vt:i4>5</vt:i4>
      </vt:variant>
      <vt:variant>
        <vt:lpwstr/>
      </vt:variant>
      <vt:variant>
        <vt:lpwstr>_Toc199233473</vt:lpwstr>
      </vt:variant>
      <vt:variant>
        <vt:i4>1572927</vt:i4>
      </vt:variant>
      <vt:variant>
        <vt:i4>50</vt:i4>
      </vt:variant>
      <vt:variant>
        <vt:i4>0</vt:i4>
      </vt:variant>
      <vt:variant>
        <vt:i4>5</vt:i4>
      </vt:variant>
      <vt:variant>
        <vt:lpwstr/>
      </vt:variant>
      <vt:variant>
        <vt:lpwstr>_Toc199233472</vt:lpwstr>
      </vt:variant>
      <vt:variant>
        <vt:i4>1572927</vt:i4>
      </vt:variant>
      <vt:variant>
        <vt:i4>44</vt:i4>
      </vt:variant>
      <vt:variant>
        <vt:i4>0</vt:i4>
      </vt:variant>
      <vt:variant>
        <vt:i4>5</vt:i4>
      </vt:variant>
      <vt:variant>
        <vt:lpwstr/>
      </vt:variant>
      <vt:variant>
        <vt:lpwstr>_Toc199233471</vt:lpwstr>
      </vt:variant>
      <vt:variant>
        <vt:i4>1572927</vt:i4>
      </vt:variant>
      <vt:variant>
        <vt:i4>38</vt:i4>
      </vt:variant>
      <vt:variant>
        <vt:i4>0</vt:i4>
      </vt:variant>
      <vt:variant>
        <vt:i4>5</vt:i4>
      </vt:variant>
      <vt:variant>
        <vt:lpwstr/>
      </vt:variant>
      <vt:variant>
        <vt:lpwstr>_Toc199233470</vt:lpwstr>
      </vt:variant>
      <vt:variant>
        <vt:i4>1638463</vt:i4>
      </vt:variant>
      <vt:variant>
        <vt:i4>32</vt:i4>
      </vt:variant>
      <vt:variant>
        <vt:i4>0</vt:i4>
      </vt:variant>
      <vt:variant>
        <vt:i4>5</vt:i4>
      </vt:variant>
      <vt:variant>
        <vt:lpwstr/>
      </vt:variant>
      <vt:variant>
        <vt:lpwstr>_Toc199233469</vt:lpwstr>
      </vt:variant>
      <vt:variant>
        <vt:i4>1638463</vt:i4>
      </vt:variant>
      <vt:variant>
        <vt:i4>26</vt:i4>
      </vt:variant>
      <vt:variant>
        <vt:i4>0</vt:i4>
      </vt:variant>
      <vt:variant>
        <vt:i4>5</vt:i4>
      </vt:variant>
      <vt:variant>
        <vt:lpwstr/>
      </vt:variant>
      <vt:variant>
        <vt:lpwstr>_Toc199233468</vt:lpwstr>
      </vt:variant>
      <vt:variant>
        <vt:i4>1638463</vt:i4>
      </vt:variant>
      <vt:variant>
        <vt:i4>20</vt:i4>
      </vt:variant>
      <vt:variant>
        <vt:i4>0</vt:i4>
      </vt:variant>
      <vt:variant>
        <vt:i4>5</vt:i4>
      </vt:variant>
      <vt:variant>
        <vt:lpwstr/>
      </vt:variant>
      <vt:variant>
        <vt:lpwstr>_Toc199233467</vt:lpwstr>
      </vt:variant>
      <vt:variant>
        <vt:i4>1638463</vt:i4>
      </vt:variant>
      <vt:variant>
        <vt:i4>14</vt:i4>
      </vt:variant>
      <vt:variant>
        <vt:i4>0</vt:i4>
      </vt:variant>
      <vt:variant>
        <vt:i4>5</vt:i4>
      </vt:variant>
      <vt:variant>
        <vt:lpwstr/>
      </vt:variant>
      <vt:variant>
        <vt:lpwstr>_Toc199233466</vt:lpwstr>
      </vt:variant>
      <vt:variant>
        <vt:i4>1638463</vt:i4>
      </vt:variant>
      <vt:variant>
        <vt:i4>8</vt:i4>
      </vt:variant>
      <vt:variant>
        <vt:i4>0</vt:i4>
      </vt:variant>
      <vt:variant>
        <vt:i4>5</vt:i4>
      </vt:variant>
      <vt:variant>
        <vt:lpwstr/>
      </vt:variant>
      <vt:variant>
        <vt:lpwstr>_Toc199233465</vt:lpwstr>
      </vt:variant>
      <vt:variant>
        <vt:i4>1638463</vt:i4>
      </vt:variant>
      <vt:variant>
        <vt:i4>2</vt:i4>
      </vt:variant>
      <vt:variant>
        <vt:i4>0</vt:i4>
      </vt:variant>
      <vt:variant>
        <vt:i4>5</vt:i4>
      </vt:variant>
      <vt:variant>
        <vt:lpwstr/>
      </vt:variant>
      <vt:variant>
        <vt:lpwstr>_Toc199233464</vt:lpwstr>
      </vt:variant>
      <vt:variant>
        <vt:i4>327695</vt:i4>
      </vt:variant>
      <vt:variant>
        <vt:i4>30</vt:i4>
      </vt:variant>
      <vt:variant>
        <vt:i4>0</vt:i4>
      </vt:variant>
      <vt:variant>
        <vt:i4>5</vt:i4>
      </vt:variant>
      <vt:variant>
        <vt:lpwstr>https://humanrights.gov.au/our-work/childrens-rights/projects/supporting-quality-engagement-children</vt:lpwstr>
      </vt:variant>
      <vt:variant>
        <vt:lpwstr/>
      </vt:variant>
      <vt:variant>
        <vt:i4>1572874</vt:i4>
      </vt:variant>
      <vt:variant>
        <vt:i4>27</vt:i4>
      </vt:variant>
      <vt:variant>
        <vt:i4>0</vt:i4>
      </vt:variant>
      <vt:variant>
        <vt:i4>5</vt:i4>
      </vt:variant>
      <vt:variant>
        <vt:lpwstr>https://www.education.gov.au/closing-the-gap/closing-gap-early-childhood/early-childhood-care-and-development-policy-partnership</vt:lpwstr>
      </vt:variant>
      <vt:variant>
        <vt:lpwstr/>
      </vt:variant>
      <vt:variant>
        <vt:i4>5701655</vt:i4>
      </vt:variant>
      <vt:variant>
        <vt:i4>24</vt:i4>
      </vt:variant>
      <vt:variant>
        <vt:i4>0</vt:i4>
      </vt:variant>
      <vt:variant>
        <vt:i4>5</vt:i4>
      </vt:variant>
      <vt:variant>
        <vt:lpwstr>https://www.dss.gov.au/aboriginal-and-torres-strait-islander-leadership-group</vt:lpwstr>
      </vt:variant>
      <vt:variant>
        <vt:lpwstr/>
      </vt:variant>
      <vt:variant>
        <vt:i4>3932214</vt:i4>
      </vt:variant>
      <vt:variant>
        <vt:i4>21</vt:i4>
      </vt:variant>
      <vt:variant>
        <vt:i4>0</vt:i4>
      </vt:variant>
      <vt:variant>
        <vt:i4>5</vt:i4>
      </vt:variant>
      <vt:variant>
        <vt:lpwstr>https://www.aihw.gov.au/reports/youth-justice/youth-detention-population-in-australia-2024/contents/first-nations-young-people/key-findings</vt:lpwstr>
      </vt:variant>
      <vt:variant>
        <vt:lpwstr/>
      </vt:variant>
      <vt:variant>
        <vt:i4>7602211</vt:i4>
      </vt:variant>
      <vt:variant>
        <vt:i4>18</vt:i4>
      </vt:variant>
      <vt:variant>
        <vt:i4>0</vt:i4>
      </vt:variant>
      <vt:variant>
        <vt:i4>5</vt:i4>
      </vt:variant>
      <vt:variant>
        <vt:lpwstr>https://www.snaicc.org.au/resources/early-childhood-care-and-development-policy-partnership-annual-report-2023/</vt:lpwstr>
      </vt:variant>
      <vt:variant>
        <vt:lpwstr/>
      </vt:variant>
      <vt:variant>
        <vt:i4>2818170</vt:i4>
      </vt:variant>
      <vt:variant>
        <vt:i4>15</vt:i4>
      </vt:variant>
      <vt:variant>
        <vt:i4>0</vt:i4>
      </vt:variant>
      <vt:variant>
        <vt:i4>5</vt:i4>
      </vt:variant>
      <vt:variant>
        <vt:lpwstr>https://www.dss.gov.au/system/files/resources/final_aboriginal_and_torres_strait_islander_first_action_plan.pdf</vt:lpwstr>
      </vt:variant>
      <vt:variant>
        <vt:lpwstr/>
      </vt:variant>
      <vt:variant>
        <vt:i4>5701655</vt:i4>
      </vt:variant>
      <vt:variant>
        <vt:i4>12</vt:i4>
      </vt:variant>
      <vt:variant>
        <vt:i4>0</vt:i4>
      </vt:variant>
      <vt:variant>
        <vt:i4>5</vt:i4>
      </vt:variant>
      <vt:variant>
        <vt:lpwstr>https://www.dss.gov.au/aboriginal-and-torres-strait-islander-leadership-group</vt:lpwstr>
      </vt:variant>
      <vt:variant>
        <vt:lpwstr/>
      </vt:variant>
      <vt:variant>
        <vt:i4>7733304</vt:i4>
      </vt:variant>
      <vt:variant>
        <vt:i4>9</vt:i4>
      </vt:variant>
      <vt:variant>
        <vt:i4>0</vt:i4>
      </vt:variant>
      <vt:variant>
        <vt:i4>5</vt:i4>
      </vt:variant>
      <vt:variant>
        <vt:lpwstr>https://www.pc.gov.au/closing-the-gap-data/dashboard/se/outcome-area12/out-of-home-care</vt:lpwstr>
      </vt:variant>
      <vt:variant>
        <vt:lpwstr>:~:text=Nationally%20in%202024%2C%2044.5%25%20of%20children%20aged%200%E2%80%93%E2%81%A017,of%204.5%20percentage%20points%20since%202019%20%28figure%20SE12b.1%29</vt:lpwstr>
      </vt:variant>
      <vt:variant>
        <vt:i4>3932214</vt:i4>
      </vt:variant>
      <vt:variant>
        <vt:i4>6</vt:i4>
      </vt:variant>
      <vt:variant>
        <vt:i4>0</vt:i4>
      </vt:variant>
      <vt:variant>
        <vt:i4>5</vt:i4>
      </vt:variant>
      <vt:variant>
        <vt:lpwstr>https://www.aihw.gov.au/reports/youth-justice/youth-detention-population-in-australia-2024/contents/first-nations-young-people/key-findings</vt:lpwstr>
      </vt:variant>
      <vt:variant>
        <vt:lpwstr/>
      </vt:variant>
      <vt:variant>
        <vt:i4>7733356</vt:i4>
      </vt:variant>
      <vt:variant>
        <vt:i4>3</vt:i4>
      </vt:variant>
      <vt:variant>
        <vt:i4>0</vt:i4>
      </vt:variant>
      <vt:variant>
        <vt:i4>5</vt:i4>
      </vt:variant>
      <vt:variant>
        <vt:lpwstr>https://www.aihw.gov.au/reports/child-protection/child-protection-australia-2022-23/contents/about</vt:lpwstr>
      </vt:variant>
      <vt:variant>
        <vt:lpwstr/>
      </vt:variant>
      <vt:variant>
        <vt:i4>2687034</vt:i4>
      </vt:variant>
      <vt:variant>
        <vt:i4>0</vt:i4>
      </vt:variant>
      <vt:variant>
        <vt:i4>0</vt:i4>
      </vt:variant>
      <vt:variant>
        <vt:i4>5</vt:i4>
      </vt:variant>
      <vt:variant>
        <vt:lpwstr>https://www.legislation.gov.au/C2024G00584/asmade/text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Corporate Plan</dc:title>
  <dc:subject/>
  <dc:creator>Ebony Cormack</dc:creator>
  <cp:keywords>[SEC=OFFICIAL:Sensitive]</cp:keywords>
  <cp:lastModifiedBy>MILLER, Vicky</cp:lastModifiedBy>
  <cp:revision>581</cp:revision>
  <cp:lastPrinted>2014-11-02T15:51:00Z</cp:lastPrinted>
  <dcterms:created xsi:type="dcterms:W3CDTF">2025-05-28T02:18:00Z</dcterms:created>
  <dcterms:modified xsi:type="dcterms:W3CDTF">2025-06-19T21:37:00Z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OriginationTimeStamp">
    <vt:lpwstr>2025-05-20T07:09:28Z</vt:lpwstr>
  </property>
  <property fmtid="{D5CDD505-2E9C-101B-9397-08002B2CF9AE}" pid="4" name="PM_Namespace">
    <vt:lpwstr>gov.au</vt:lpwstr>
  </property>
  <property fmtid="{D5CDD505-2E9C-101B-9397-08002B2CF9AE}" pid="5" name="PM_Version">
    <vt:lpwstr>2018.4</vt:lpwstr>
  </property>
  <property fmtid="{D5CDD505-2E9C-101B-9397-08002B2CF9AE}" pid="6" name="PM_Note">
    <vt:lpwstr/>
  </property>
  <property fmtid="{D5CDD505-2E9C-101B-9397-08002B2CF9AE}" pid="7" name="PM_Markers">
    <vt:lpwstr/>
  </property>
  <property fmtid="{D5CDD505-2E9C-101B-9397-08002B2CF9AE}" pid="8" name="ContentTypeId">
    <vt:lpwstr>0x0101004E197495A597DE44A0DC56AE368D2028</vt:lpwstr>
  </property>
  <property fmtid="{D5CDD505-2E9C-101B-9397-08002B2CF9AE}" pid="9" name="MediaServiceImageTags">
    <vt:lpwstr/>
  </property>
  <property fmtid="{D5CDD505-2E9C-101B-9397-08002B2CF9AE}" pid="10" name="PM_Expires">
    <vt:lpwstr/>
  </property>
  <property fmtid="{D5CDD505-2E9C-101B-9397-08002B2CF9AE}" pid="11" name="PM_DownTo">
    <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ProtectiveMarkingValue_Header">
    <vt:lpwstr>OFFICIAL: Sensitive</vt:lpwstr>
  </property>
  <property fmtid="{D5CDD505-2E9C-101B-9397-08002B2CF9AE}" pid="15" name="PM_DisplayValueSecClassificationWithQualifier">
    <vt:lpwstr>OFFICIAL: Sensitive</vt:lpwstr>
  </property>
  <property fmtid="{D5CDD505-2E9C-101B-9397-08002B2CF9AE}" pid="16" name="PM_SecurityClassification_Prev">
    <vt:lpwstr>OFFICIAL:Sensitive</vt:lpwstr>
  </property>
  <property fmtid="{D5CDD505-2E9C-101B-9397-08002B2CF9AE}" pid="17" name="PM_Qualifier_Prev">
    <vt:lpwstr/>
  </property>
  <property fmtid="{D5CDD505-2E9C-101B-9397-08002B2CF9AE}" pid="18" name="PM_InsertionValue">
    <vt:lpwstr>OFFICIAL: Sensitive</vt:lpwstr>
  </property>
  <property fmtid="{D5CDD505-2E9C-101B-9397-08002B2CF9AE}" pid="19" name="PM_Originating_FileId">
    <vt:lpwstr>806A6BE22A234875AE0BA8531F9CCA04</vt:lpwstr>
  </property>
  <property fmtid="{D5CDD505-2E9C-101B-9397-08002B2CF9AE}" pid="20" name="PM_ProtectiveMarkingValue_Footer">
    <vt:lpwstr>OFFICIAL: Sensitive</vt:lpwstr>
  </property>
  <property fmtid="{D5CDD505-2E9C-101B-9397-08002B2CF9AE}" pid="21" name="PM_Display">
    <vt:lpwstr>OFFICIAL: Sensitive</vt:lpwstr>
  </property>
  <property fmtid="{D5CDD505-2E9C-101B-9397-08002B2CF9AE}" pid="22" name="PM_OriginatorDomainName_SHA256">
    <vt:lpwstr>E83A2A66C4061446A7E3732E8D44762184B6B377D962B96C83DC624302585857</vt:lpwstr>
  </property>
  <property fmtid="{D5CDD505-2E9C-101B-9397-08002B2CF9AE}" pid="23" name="PMUuid">
    <vt:lpwstr>v=2022.2;d=gov.au;g=ABA70C08-925C-5FA3-8765-3178156983AC</vt:lpwstr>
  </property>
  <property fmtid="{D5CDD505-2E9C-101B-9397-08002B2CF9AE}" pid="24" name="PM_Hash_Version">
    <vt:lpwstr>2022.1</vt:lpwstr>
  </property>
  <property fmtid="{D5CDD505-2E9C-101B-9397-08002B2CF9AE}" pid="25" name="MSIP_Label_d7a0bb3f-afec-4815-b70d-2a788d74835f_Name">
    <vt:lpwstr>OFFICIAL:Sensitive</vt:lpwstr>
  </property>
  <property fmtid="{D5CDD505-2E9C-101B-9397-08002B2CF9AE}" pid="26" name="MSIP_Label_d7a0bb3f-afec-4815-b70d-2a788d74835f_SiteId">
    <vt:lpwstr>61e36dd1-ca6e-4d61-aa0a-2b4eb88317a3</vt:lpwstr>
  </property>
  <property fmtid="{D5CDD505-2E9C-101B-9397-08002B2CF9AE}" pid="27" name="MSIP_Label_d7a0bb3f-afec-4815-b70d-2a788d74835f_Enabled">
    <vt:lpwstr>true</vt:lpwstr>
  </property>
  <property fmtid="{D5CDD505-2E9C-101B-9397-08002B2CF9AE}" pid="28" name="MSIP_Label_d7a0bb3f-afec-4815-b70d-2a788d74835f_Method">
    <vt:lpwstr>Privileged</vt:lpwstr>
  </property>
  <property fmtid="{D5CDD505-2E9C-101B-9397-08002B2CF9AE}" pid="29" name="MSIP_Label_d7a0bb3f-afec-4815-b70d-2a788d74835f_SetDate">
    <vt:lpwstr>2025-05-20T07:09:28Z</vt:lpwstr>
  </property>
  <property fmtid="{D5CDD505-2E9C-101B-9397-08002B2CF9AE}" pid="30" name="MSIP_Label_d7a0bb3f-afec-4815-b70d-2a788d74835f_ContentBits">
    <vt:lpwstr>0</vt:lpwstr>
  </property>
  <property fmtid="{D5CDD505-2E9C-101B-9397-08002B2CF9AE}" pid="31" name="PMHMAC">
    <vt:lpwstr>v=2022.1;a=SHA256;h=2108C2A5A3195C5D8C1F43A57588806D9A819C772BB8C3CCBFCCAD00C83C3536</vt:lpwstr>
  </property>
  <property fmtid="{D5CDD505-2E9C-101B-9397-08002B2CF9AE}" pid="32" name="PM_Originator_Hash_SHA1">
    <vt:lpwstr>DAACB08450204C0F46DD78BFF6F8049364488490</vt:lpwstr>
  </property>
  <property fmtid="{D5CDD505-2E9C-101B-9397-08002B2CF9AE}" pid="33" name="PM_OriginatorUserAccountName_SHA256">
    <vt:lpwstr>9871F6CFFBF84B5DD096BCB24488EABDE9250CEAA716568F68B24D42DED533FD</vt:lpwstr>
  </property>
  <property fmtid="{D5CDD505-2E9C-101B-9397-08002B2CF9AE}" pid="34" name="PM_Hash_Salt_Prev">
    <vt:lpwstr>5EFC8C475B39D1E3901BB9D763ED6635</vt:lpwstr>
  </property>
  <property fmtid="{D5CDD505-2E9C-101B-9397-08002B2CF9AE}" pid="35" name="PM_Hash_Salt">
    <vt:lpwstr>8A95BD0E1556DFC55055D29003D76CC7</vt:lpwstr>
  </property>
  <property fmtid="{D5CDD505-2E9C-101B-9397-08002B2CF9AE}" pid="36" name="PM_Hash_SHA1">
    <vt:lpwstr>63FFAA28EEBF5FCFD0706CC6E91E7F24B3A493D3</vt:lpwstr>
  </property>
  <property fmtid="{D5CDD505-2E9C-101B-9397-08002B2CF9AE}" pid="37" name="MSIP_Label_d7a0bb3f-afec-4815-b70d-2a788d74835f_ActionId">
    <vt:lpwstr>fe8233c77a2b4528b05c3a5962bef7d8</vt:lpwstr>
  </property>
</Properties>
</file>