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CFD2" w14:textId="77777777" w:rsidR="00F46F14" w:rsidRPr="00EE53BB" w:rsidRDefault="00F46F14" w:rsidP="00423754">
      <w:pPr>
        <w:pStyle w:val="HeaderSpace"/>
        <w:rPr>
          <w:noProof w:val="0"/>
        </w:rPr>
      </w:pPr>
      <w:r w:rsidRPr="00EE53BB">
        <w:drawing>
          <wp:anchor distT="0" distB="0" distL="114300" distR="114300" simplePos="0" relativeHeight="251658240" behindDoc="0" locked="1" layoutInCell="1" allowOverlap="1" wp14:anchorId="0838EF01" wp14:editId="63A4BE7A">
            <wp:simplePos x="0" y="0"/>
            <wp:positionH relativeFrom="column">
              <wp:posOffset>-542925</wp:posOffset>
            </wp:positionH>
            <wp:positionV relativeFrom="paragraph">
              <wp:posOffset>-542925</wp:posOffset>
            </wp:positionV>
            <wp:extent cx="7566660" cy="1929130"/>
            <wp:effectExtent l="0" t="0" r="0" b="0"/>
            <wp:wrapNone/>
            <wp:docPr id="2031036510" name="Picture 3" descr="A logo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6510" name="Picture 3" descr="A logo on a green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1929130"/>
                    </a:xfrm>
                    <a:prstGeom prst="rect">
                      <a:avLst/>
                    </a:prstGeom>
                  </pic:spPr>
                </pic:pic>
              </a:graphicData>
            </a:graphic>
            <wp14:sizeRelH relativeFrom="margin">
              <wp14:pctWidth>0</wp14:pctWidth>
            </wp14:sizeRelH>
            <wp14:sizeRelV relativeFrom="margin">
              <wp14:pctHeight>0</wp14:pctHeight>
            </wp14:sizeRelV>
          </wp:anchor>
        </w:drawing>
      </w:r>
    </w:p>
    <w:p w14:paraId="57A75AF1" w14:textId="74BBBA8C" w:rsidR="00F46F14" w:rsidRPr="00EE53BB" w:rsidRDefault="00E046AF" w:rsidP="00FC7999">
      <w:pPr>
        <w:pStyle w:val="Heading1"/>
      </w:pPr>
      <w:r w:rsidRPr="00EE53BB">
        <w:t>S</w:t>
      </w:r>
      <w:r w:rsidR="000C6EF8" w:rsidRPr="00EE53BB">
        <w:t>ubmission</w:t>
      </w:r>
    </w:p>
    <w:p w14:paraId="4A58BD78" w14:textId="076197EB" w:rsidR="00F46F14" w:rsidRPr="00D1051F" w:rsidRDefault="00420BF4" w:rsidP="008C4538">
      <w:pPr>
        <w:pStyle w:val="Heading2"/>
        <w:rPr>
          <w:color w:val="116765" w:themeColor="text2"/>
        </w:rPr>
      </w:pPr>
      <w:bookmarkStart w:id="0" w:name="_Toc395536189"/>
      <w:r w:rsidRPr="00D1051F">
        <w:rPr>
          <w:color w:val="116765" w:themeColor="text2"/>
        </w:rPr>
        <w:t>Inquiry into racism, hate and violence directed at Aboriginal and Torres Strait Islander people</w:t>
      </w:r>
    </w:p>
    <w:p w14:paraId="30EC2226" w14:textId="2C8DD26D" w:rsidR="00707C53" w:rsidRPr="00EE53BB" w:rsidRDefault="005A4D95" w:rsidP="004F2BFD">
      <w:pPr>
        <w:rPr>
          <w:rStyle w:val="Emphasis"/>
        </w:rPr>
      </w:pPr>
      <w:r w:rsidRPr="00EE53BB">
        <w:rPr>
          <w:rStyle w:val="Emphasis"/>
        </w:rPr>
        <w:t xml:space="preserve">The National Commission for Aboriginal and Torres Strait Islander children and young people </w:t>
      </w:r>
      <w:r w:rsidR="003F1E49" w:rsidRPr="00EE53BB">
        <w:rPr>
          <w:rStyle w:val="Emphasis"/>
        </w:rPr>
        <w:t xml:space="preserve">focuses on systemic issues impacting First Nations children and young people. </w:t>
      </w:r>
      <w:r w:rsidR="00D814B3" w:rsidRPr="00EE53BB">
        <w:rPr>
          <w:rStyle w:val="Emphasis"/>
        </w:rPr>
        <w:t>Th</w:t>
      </w:r>
      <w:r w:rsidR="00850F16" w:rsidRPr="00EE53BB">
        <w:rPr>
          <w:rStyle w:val="Emphasis"/>
        </w:rPr>
        <w:t xml:space="preserve">is submission </w:t>
      </w:r>
      <w:r w:rsidR="00B3339A" w:rsidRPr="00EE53BB">
        <w:rPr>
          <w:rStyle w:val="Emphasis"/>
        </w:rPr>
        <w:t>addresses</w:t>
      </w:r>
      <w:r w:rsidR="00850F16" w:rsidRPr="00EE53BB">
        <w:rPr>
          <w:rStyle w:val="Emphasis"/>
        </w:rPr>
        <w:t xml:space="preserve"> </w:t>
      </w:r>
      <w:r w:rsidR="00C20355" w:rsidRPr="00EE53BB">
        <w:rPr>
          <w:rStyle w:val="Emphasis"/>
        </w:rPr>
        <w:t xml:space="preserve">the </w:t>
      </w:r>
      <w:r w:rsidR="000619BA" w:rsidRPr="00EE53BB">
        <w:rPr>
          <w:rStyle w:val="Emphasis"/>
        </w:rPr>
        <w:t>relationship between</w:t>
      </w:r>
      <w:r w:rsidR="009B7D87" w:rsidRPr="00EE53BB">
        <w:rPr>
          <w:rStyle w:val="Emphasis"/>
        </w:rPr>
        <w:t xml:space="preserve"> </w:t>
      </w:r>
      <w:r w:rsidR="00D076FA" w:rsidRPr="00EE53BB">
        <w:rPr>
          <w:rStyle w:val="Emphasis"/>
        </w:rPr>
        <w:t xml:space="preserve">racialised public sentiment </w:t>
      </w:r>
      <w:r w:rsidR="000619BA" w:rsidRPr="00EE53BB">
        <w:rPr>
          <w:rStyle w:val="Emphasis"/>
        </w:rPr>
        <w:t>and</w:t>
      </w:r>
      <w:r w:rsidR="00680244" w:rsidRPr="00EE53BB">
        <w:rPr>
          <w:rStyle w:val="Emphasis"/>
        </w:rPr>
        <w:t xml:space="preserve"> systemic racism</w:t>
      </w:r>
      <w:r w:rsidR="003C1DE5" w:rsidRPr="00EE53BB">
        <w:rPr>
          <w:rStyle w:val="Emphasis"/>
        </w:rPr>
        <w:t xml:space="preserve"> </w:t>
      </w:r>
      <w:r w:rsidR="004A74BA" w:rsidRPr="00EE53BB">
        <w:rPr>
          <w:rStyle w:val="Emphasis"/>
        </w:rPr>
        <w:t>in relation to</w:t>
      </w:r>
      <w:r w:rsidR="00E07ED3" w:rsidRPr="00EE53BB">
        <w:rPr>
          <w:rStyle w:val="Emphasis"/>
        </w:rPr>
        <w:t xml:space="preserve"> key national issues</w:t>
      </w:r>
      <w:r w:rsidR="00011FE7" w:rsidRPr="00EE53BB">
        <w:rPr>
          <w:rStyle w:val="Emphasis"/>
        </w:rPr>
        <w:t xml:space="preserve">, including </w:t>
      </w:r>
      <w:r w:rsidR="00543A5F" w:rsidRPr="00EE53BB">
        <w:rPr>
          <w:rStyle w:val="Emphasis"/>
        </w:rPr>
        <w:t>recommendations for improvement</w:t>
      </w:r>
      <w:r w:rsidR="00CD763B" w:rsidRPr="00EE53BB">
        <w:rPr>
          <w:rStyle w:val="Emphasis"/>
        </w:rPr>
        <w:t>.</w:t>
      </w:r>
    </w:p>
    <w:bookmarkEnd w:id="0"/>
    <w:p w14:paraId="517D6B1D" w14:textId="6A31BEAF" w:rsidR="004B22D5" w:rsidRPr="00EE53BB" w:rsidRDefault="000970EA" w:rsidP="00974448">
      <w:r w:rsidRPr="00EE53BB">
        <w:t xml:space="preserve">Individual </w:t>
      </w:r>
      <w:r w:rsidR="00827910" w:rsidRPr="00EE53BB">
        <w:t xml:space="preserve">instances of racism, hate, and violence </w:t>
      </w:r>
      <w:r w:rsidR="00C20355" w:rsidRPr="00EE53BB">
        <w:t>can have profound</w:t>
      </w:r>
      <w:r w:rsidR="0017415E" w:rsidRPr="00EE53BB">
        <w:t>ly harmful</w:t>
      </w:r>
      <w:r w:rsidR="00C20355" w:rsidRPr="00EE53BB">
        <w:t xml:space="preserve"> effects on First Nations children and young people</w:t>
      </w:r>
      <w:r w:rsidR="009E39D0" w:rsidRPr="00EE53BB">
        <w:t xml:space="preserve">. However, </w:t>
      </w:r>
      <w:r w:rsidR="008D2726" w:rsidRPr="00EE53BB">
        <w:t>interpersonal and high-visibility racism</w:t>
      </w:r>
      <w:r w:rsidR="00B126E3" w:rsidRPr="00EE53BB">
        <w:t xml:space="preserve"> is intrinsically tied to a broader environment of systemic racism.</w:t>
      </w:r>
      <w:r w:rsidR="001E0E9C" w:rsidRPr="00EE53BB">
        <w:t xml:space="preserve"> </w:t>
      </w:r>
      <w:r w:rsidR="00A96B06" w:rsidRPr="00EE53BB">
        <w:t>T</w:t>
      </w:r>
      <w:r w:rsidR="00553E4B" w:rsidRPr="00EE53BB">
        <w:t xml:space="preserve">his includes </w:t>
      </w:r>
      <w:r w:rsidR="00230D4D" w:rsidRPr="00EE53BB">
        <w:t xml:space="preserve">racism embedded in </w:t>
      </w:r>
      <w:r w:rsidR="00553E4B" w:rsidRPr="00EE53BB">
        <w:t>t</w:t>
      </w:r>
      <w:r w:rsidR="00A96B06" w:rsidRPr="00EE53BB">
        <w:t>he ordinary functioning of institutions and the mechanisms by which racialised public sentiment is manufactured, converted into political legitimacy, and translated into reforms that entrench harm</w:t>
      </w:r>
      <w:r w:rsidR="00CD218B" w:rsidRPr="00EE53BB">
        <w:t>.</w:t>
      </w:r>
    </w:p>
    <w:p w14:paraId="2DF18B19" w14:textId="4B0D74E8" w:rsidR="00CB2B24" w:rsidRPr="00F61FD7" w:rsidRDefault="00CB2B24" w:rsidP="00F61FD7">
      <w:pPr>
        <w:pStyle w:val="Heading3"/>
      </w:pPr>
      <w:r w:rsidRPr="00F61FD7">
        <w:t>Committee Terms of Reference</w:t>
      </w:r>
    </w:p>
    <w:p w14:paraId="1B956F8B" w14:textId="77777777" w:rsidR="00CB2B24" w:rsidRPr="00BA3ABD" w:rsidRDefault="00CB2B24" w:rsidP="00CB2B24">
      <w:pPr>
        <w:numPr>
          <w:ilvl w:val="0"/>
          <w:numId w:val="37"/>
        </w:numPr>
        <w:rPr>
          <w:b/>
        </w:rPr>
      </w:pPr>
      <w:r w:rsidRPr="00BA3ABD">
        <w:rPr>
          <w:b/>
        </w:rPr>
        <w:t>The nature, prevalence and impact of racism, hate and violence towards First Nations people, including trends over time.</w:t>
      </w:r>
    </w:p>
    <w:p w14:paraId="214B0B4E" w14:textId="3ADE6A77" w:rsidR="00CB2B24" w:rsidRPr="00EE53BB" w:rsidRDefault="00CB2B24" w:rsidP="00DA2847">
      <w:pPr>
        <w:ind w:left="720"/>
      </w:pPr>
      <w:r w:rsidRPr="00EE53BB">
        <w:t xml:space="preserve">See </w:t>
      </w:r>
      <w:r w:rsidR="00EF2827" w:rsidRPr="00EE53BB">
        <w:t>sections ‘Systemic racism’</w:t>
      </w:r>
      <w:r w:rsidR="00A93595">
        <w:t>, ‘Intersectionality’,</w:t>
      </w:r>
      <w:r w:rsidR="00EF2827" w:rsidRPr="00EE53BB">
        <w:t xml:space="preserve"> and ‘Institutional violence and abuse’</w:t>
      </w:r>
    </w:p>
    <w:p w14:paraId="51DC6C71" w14:textId="77777777" w:rsidR="00CB2B24" w:rsidRPr="00BA3ABD" w:rsidRDefault="00CB2B24" w:rsidP="00CB2B24">
      <w:pPr>
        <w:numPr>
          <w:ilvl w:val="0"/>
          <w:numId w:val="37"/>
        </w:numPr>
        <w:rPr>
          <w:b/>
        </w:rPr>
      </w:pPr>
      <w:r w:rsidRPr="00BA3ABD">
        <w:rPr>
          <w:b/>
        </w:rPr>
        <w:t>The effect of online platforms on the reach, prominence and harm caused by racism and hate directed at First Nations people.</w:t>
      </w:r>
    </w:p>
    <w:p w14:paraId="590B39B7" w14:textId="04FD41CD" w:rsidR="00CB2B24" w:rsidRPr="00EE53BB" w:rsidRDefault="00833E14" w:rsidP="00DA2847">
      <w:pPr>
        <w:ind w:left="720"/>
      </w:pPr>
      <w:r>
        <w:t>See</w:t>
      </w:r>
      <w:r w:rsidR="00CB2B24" w:rsidRPr="00EE53BB">
        <w:t xml:space="preserve"> section ‘Online platforms, media, and political rhetoric’</w:t>
      </w:r>
    </w:p>
    <w:p w14:paraId="10391CB8" w14:textId="77777777" w:rsidR="00CB2B24" w:rsidRPr="00BA3ABD" w:rsidRDefault="00CB2B24" w:rsidP="00CB2B24">
      <w:pPr>
        <w:numPr>
          <w:ilvl w:val="0"/>
          <w:numId w:val="37"/>
        </w:numPr>
        <w:rPr>
          <w:b/>
        </w:rPr>
      </w:pPr>
      <w:r w:rsidRPr="00BA3ABD">
        <w:rPr>
          <w:b/>
        </w:rPr>
        <w:t>Initiatives that are effective in combating racism targeted at First Nations people and reduce individual and collective harm.</w:t>
      </w:r>
    </w:p>
    <w:p w14:paraId="2BBF7FAE" w14:textId="75C39E9C" w:rsidR="00966A29" w:rsidRPr="00EE53BB" w:rsidRDefault="00833E14" w:rsidP="00DA2847">
      <w:pPr>
        <w:ind w:left="720"/>
      </w:pPr>
      <w:r>
        <w:t>See</w:t>
      </w:r>
      <w:r w:rsidR="00966A29" w:rsidRPr="00EE53BB">
        <w:t xml:space="preserve"> section ‘Conclusion and recommendations’</w:t>
      </w:r>
    </w:p>
    <w:p w14:paraId="7A0F875F" w14:textId="77777777" w:rsidR="00CB2B24" w:rsidRPr="00BA3ABD" w:rsidRDefault="00CB2B24" w:rsidP="00CB2B24">
      <w:pPr>
        <w:numPr>
          <w:ilvl w:val="0"/>
          <w:numId w:val="37"/>
        </w:numPr>
        <w:rPr>
          <w:b/>
        </w:rPr>
      </w:pPr>
      <w:r w:rsidRPr="00BA3ABD">
        <w:rPr>
          <w:b/>
        </w:rPr>
        <w:t>The threat posed by ideologically motivated extremism towards First Nations people and the role of intelligence and law enforcement agencies in protecting the community from that threat.</w:t>
      </w:r>
    </w:p>
    <w:p w14:paraId="23C9502D" w14:textId="495CC2A8" w:rsidR="008F49AA" w:rsidRPr="00EE53BB" w:rsidRDefault="008F49AA" w:rsidP="00991C65">
      <w:pPr>
        <w:ind w:left="720"/>
      </w:pPr>
      <w:r w:rsidRPr="00EE53BB">
        <w:t>See sections ‘Systemic racism’</w:t>
      </w:r>
      <w:r w:rsidR="00991C65">
        <w:t>,</w:t>
      </w:r>
      <w:r w:rsidRPr="00EE53BB">
        <w:t xml:space="preserve"> </w:t>
      </w:r>
      <w:r w:rsidR="00AB5A2F" w:rsidRPr="00EE53BB">
        <w:t>‘Institutional violence and abuse’</w:t>
      </w:r>
      <w:r w:rsidR="00991C65">
        <w:t xml:space="preserve">, and </w:t>
      </w:r>
      <w:r w:rsidR="00991C65" w:rsidRPr="00EE53BB">
        <w:t>‘Online platforms, media, and political rhetoric’</w:t>
      </w:r>
    </w:p>
    <w:p w14:paraId="4EE4E516" w14:textId="77777777" w:rsidR="00CB2B24" w:rsidRPr="00BA3ABD" w:rsidRDefault="00CB2B24" w:rsidP="00CB2B24">
      <w:pPr>
        <w:numPr>
          <w:ilvl w:val="0"/>
          <w:numId w:val="37"/>
        </w:numPr>
        <w:rPr>
          <w:b/>
        </w:rPr>
      </w:pPr>
      <w:r w:rsidRPr="00BA3ABD">
        <w:rPr>
          <w:b/>
        </w:rPr>
        <w:t>The effectiveness of avenues for reporting and responding to racism against Aboriginal and Torres Strait Islander people, including the consistency, timeliness and appropriateness of outcomes across jurisdictions and institutions.</w:t>
      </w:r>
    </w:p>
    <w:p w14:paraId="6206169E" w14:textId="2B2C24D6" w:rsidR="00CA1F07" w:rsidRPr="00EE53BB" w:rsidRDefault="00CA1F07" w:rsidP="00BA3ABD">
      <w:pPr>
        <w:ind w:left="720"/>
      </w:pPr>
      <w:r w:rsidRPr="00EE53BB">
        <w:t>See section</w:t>
      </w:r>
      <w:r w:rsidR="00DD0FB5">
        <w:t>s</w:t>
      </w:r>
      <w:r w:rsidRPr="00EE53BB">
        <w:t xml:space="preserve"> ‘Systemic racism’</w:t>
      </w:r>
      <w:r w:rsidR="00DD0FB5">
        <w:t xml:space="preserve"> and ‘Conclusion and recommendations’</w:t>
      </w:r>
    </w:p>
    <w:p w14:paraId="03D4149D" w14:textId="77777777" w:rsidR="00CB2B24" w:rsidRDefault="00CB2B24" w:rsidP="00CB2B24">
      <w:pPr>
        <w:numPr>
          <w:ilvl w:val="0"/>
          <w:numId w:val="37"/>
        </w:numPr>
        <w:rPr>
          <w:b/>
          <w:bCs/>
        </w:rPr>
      </w:pPr>
      <w:r w:rsidRPr="00BA3ABD">
        <w:rPr>
          <w:b/>
        </w:rPr>
        <w:t>Other matters related to racism, hatred and violence directed at First Nations people.</w:t>
      </w:r>
    </w:p>
    <w:p w14:paraId="531DD2AA" w14:textId="622156A9" w:rsidR="00BE12BB" w:rsidRPr="00BE12BB" w:rsidRDefault="00BE12BB" w:rsidP="00BA3ABD">
      <w:pPr>
        <w:pStyle w:val="ListParagraph"/>
        <w:numPr>
          <w:ilvl w:val="0"/>
          <w:numId w:val="0"/>
        </w:numPr>
        <w:ind w:left="720"/>
      </w:pPr>
      <w:r>
        <w:t>See</w:t>
      </w:r>
      <w:r w:rsidRPr="00EE53BB">
        <w:t xml:space="preserve"> section ‘Online platforms, media, and political rhetoric’</w:t>
      </w:r>
    </w:p>
    <w:p w14:paraId="2803C121" w14:textId="77777777" w:rsidR="00CB2B24" w:rsidRPr="00EE53BB" w:rsidRDefault="00CB2B24" w:rsidP="00974448"/>
    <w:p w14:paraId="360F067C" w14:textId="5BB0F518" w:rsidR="005A2271" w:rsidRPr="00EE53BB" w:rsidRDefault="00B20A5F" w:rsidP="00F61FD7">
      <w:pPr>
        <w:pStyle w:val="Heading3"/>
      </w:pPr>
      <w:r w:rsidRPr="00EE53BB">
        <w:lastRenderedPageBreak/>
        <w:t>Systemic racism</w:t>
      </w:r>
    </w:p>
    <w:p w14:paraId="68B5C9CE" w14:textId="20964C3F" w:rsidR="000F69A0" w:rsidRPr="00EE53BB" w:rsidRDefault="00FB06C1" w:rsidP="00974448">
      <w:r w:rsidRPr="00EE53BB">
        <w:t>M</w:t>
      </w:r>
      <w:r w:rsidR="00CA3303" w:rsidRPr="00EE53BB">
        <w:t xml:space="preserve">any Australian systems operate </w:t>
      </w:r>
      <w:r w:rsidR="00757AD9" w:rsidRPr="00EE53BB">
        <w:t>with inherently discriminatory effects</w:t>
      </w:r>
      <w:r w:rsidR="00D3182E" w:rsidRPr="00EE53BB">
        <w:t>,</w:t>
      </w:r>
      <w:r w:rsidR="003770A5" w:rsidRPr="00EE53BB">
        <w:t xml:space="preserve"> </w:t>
      </w:r>
      <w:r w:rsidR="00793FBD" w:rsidRPr="00EE53BB">
        <w:t>regardless of</w:t>
      </w:r>
      <w:r w:rsidR="003770A5" w:rsidRPr="00EE53BB">
        <w:t xml:space="preserve"> </w:t>
      </w:r>
      <w:r w:rsidR="00D15CBB" w:rsidRPr="00EE53BB">
        <w:t xml:space="preserve">any </w:t>
      </w:r>
      <w:r w:rsidR="000B39E6" w:rsidRPr="00EE53BB">
        <w:t xml:space="preserve">intended neutrality in legislation, policy, and </w:t>
      </w:r>
      <w:r w:rsidR="00E55A53" w:rsidRPr="00EE53BB">
        <w:t>operations.</w:t>
      </w:r>
      <w:r w:rsidR="00552DF9" w:rsidRPr="00EE53BB">
        <w:t xml:space="preserve"> The </w:t>
      </w:r>
      <w:r w:rsidR="00552DF9" w:rsidRPr="00EE53BB">
        <w:rPr>
          <w:i/>
          <w:iCs/>
        </w:rPr>
        <w:t>International Convention on the Elimination of All Forms of Racial Discrimination</w:t>
      </w:r>
      <w:r w:rsidR="00552DF9" w:rsidRPr="00EE53BB">
        <w:t xml:space="preserve"> defines racial discrimination as </w:t>
      </w:r>
      <w:r w:rsidR="00E77FA4" w:rsidRPr="00EE53BB">
        <w:t xml:space="preserve">that which </w:t>
      </w:r>
      <w:r w:rsidR="00552DF9" w:rsidRPr="00EE53BB">
        <w:t xml:space="preserve">has the </w:t>
      </w:r>
      <w:r w:rsidR="00E77FA4" w:rsidRPr="00EE53BB">
        <w:t>‘</w:t>
      </w:r>
      <w:r w:rsidR="00552DF9" w:rsidRPr="00EE53BB">
        <w:t>purpose</w:t>
      </w:r>
      <w:r w:rsidR="00710EBE" w:rsidRPr="00EE53BB">
        <w:t>’</w:t>
      </w:r>
      <w:r w:rsidR="00552DF9" w:rsidRPr="00EE53BB">
        <w:t xml:space="preserve"> or </w:t>
      </w:r>
      <w:r w:rsidR="00710EBE" w:rsidRPr="00EE53BB">
        <w:t>‘</w:t>
      </w:r>
      <w:r w:rsidR="00552DF9" w:rsidRPr="00EE53BB">
        <w:t>effect</w:t>
      </w:r>
      <w:r w:rsidR="00E77FA4" w:rsidRPr="00EE53BB">
        <w:t>’</w:t>
      </w:r>
      <w:r w:rsidR="00552DF9" w:rsidRPr="00EE53BB">
        <w:t xml:space="preserve"> of impairing the enjoyment of human rights</w:t>
      </w:r>
      <w:r w:rsidR="00710EBE" w:rsidRPr="00EE53BB">
        <w:t xml:space="preserve"> on grounds of race</w:t>
      </w:r>
      <w:r w:rsidR="00414611" w:rsidRPr="00EE53BB">
        <w:t>,</w:t>
      </w:r>
      <w:r w:rsidR="00891EB5" w:rsidRPr="00EE53BB">
        <w:rPr>
          <w:rStyle w:val="EndnoteReference"/>
        </w:rPr>
        <w:endnoteReference w:id="1"/>
      </w:r>
      <w:r w:rsidR="00640D36" w:rsidRPr="00EE53BB">
        <w:t xml:space="preserve"> </w:t>
      </w:r>
      <w:r w:rsidR="00414611" w:rsidRPr="00EE53BB">
        <w:t xml:space="preserve">meaning </w:t>
      </w:r>
      <w:r w:rsidR="00393C51" w:rsidRPr="00EE53BB">
        <w:t xml:space="preserve">that </w:t>
      </w:r>
      <w:r w:rsidR="000752C0" w:rsidRPr="00EE53BB">
        <w:t xml:space="preserve">systemic racism is present anywhere </w:t>
      </w:r>
      <w:r w:rsidR="00151E90" w:rsidRPr="00EE53BB">
        <w:t>that</w:t>
      </w:r>
      <w:r w:rsidR="00806089" w:rsidRPr="00EE53BB">
        <w:t xml:space="preserve"> First Nations children and young people are overrepresented </w:t>
      </w:r>
      <w:r w:rsidR="00151E90" w:rsidRPr="00EE53BB">
        <w:t>and</w:t>
      </w:r>
      <w:r w:rsidR="00806089" w:rsidRPr="00EE53BB">
        <w:t xml:space="preserve"> disproportionately impacted </w:t>
      </w:r>
      <w:r w:rsidR="00C736F5" w:rsidRPr="00EE53BB">
        <w:t>by systems</w:t>
      </w:r>
      <w:r w:rsidR="00894C87" w:rsidRPr="00EE53BB">
        <w:t xml:space="preserve">, </w:t>
      </w:r>
      <w:r w:rsidR="00C70CF9" w:rsidRPr="00EE53BB">
        <w:t>regardless of the intended operation or outcome of the</w:t>
      </w:r>
      <w:r w:rsidR="00BB5F06" w:rsidRPr="00EE53BB">
        <w:t>se systems</w:t>
      </w:r>
      <w:r w:rsidR="00C736F5" w:rsidRPr="00EE53BB">
        <w:t>.</w:t>
      </w:r>
    </w:p>
    <w:p w14:paraId="006DEBA3" w14:textId="7D447CA2" w:rsidR="005A2271" w:rsidRPr="00EE53BB" w:rsidRDefault="00C9249D" w:rsidP="00974448">
      <w:r w:rsidRPr="00EE53BB">
        <w:t xml:space="preserve">The overrepresentation of </w:t>
      </w:r>
      <w:r w:rsidR="005A2271" w:rsidRPr="00EE53BB">
        <w:t>First Nations children</w:t>
      </w:r>
      <w:r w:rsidR="00013EB9" w:rsidRPr="00EE53BB">
        <w:t xml:space="preserve"> and young people</w:t>
      </w:r>
      <w:r w:rsidRPr="00EE53BB">
        <w:t xml:space="preserve"> in </w:t>
      </w:r>
      <w:r w:rsidR="004D73A0" w:rsidRPr="00EE53BB">
        <w:t xml:space="preserve">the </w:t>
      </w:r>
      <w:r w:rsidRPr="00EE53BB">
        <w:t>child protection and youth justice system</w:t>
      </w:r>
      <w:r w:rsidR="004D73A0" w:rsidRPr="00EE53BB">
        <w:t>s</w:t>
      </w:r>
      <w:r w:rsidRPr="00EE53BB">
        <w:t xml:space="preserve"> has been recognised for decades</w:t>
      </w:r>
      <w:r w:rsidR="00425A1E" w:rsidRPr="00EE53BB">
        <w:t>.</w:t>
      </w:r>
      <w:r w:rsidR="00425A1E" w:rsidRPr="00EE53BB">
        <w:rPr>
          <w:rStyle w:val="EndnoteReference"/>
        </w:rPr>
        <w:endnoteReference w:id="2"/>
      </w:r>
      <w:r w:rsidR="00250E88" w:rsidRPr="00EE53BB">
        <w:t xml:space="preserve"> They are </w:t>
      </w:r>
      <w:r w:rsidR="005A2271" w:rsidRPr="00EE53BB">
        <w:t xml:space="preserve">disproportionately represented at all stages of child protection, with the greatest levels of overrepresentation often appearing in the most intensive interventions. </w:t>
      </w:r>
      <w:r w:rsidR="00031C2E" w:rsidRPr="00EE53BB">
        <w:t xml:space="preserve">The most recent </w:t>
      </w:r>
      <w:r w:rsidR="005677A5" w:rsidRPr="00EE53BB">
        <w:t>nationally comparable</w:t>
      </w:r>
      <w:r w:rsidR="00031C2E" w:rsidRPr="00EE53BB">
        <w:t xml:space="preserve"> data </w:t>
      </w:r>
      <w:r w:rsidR="00517EC2" w:rsidRPr="00EE53BB">
        <w:t>indicates that, i</w:t>
      </w:r>
      <w:r w:rsidR="005A2271" w:rsidRPr="00EE53BB">
        <w:t xml:space="preserve">n 2023–24, </w:t>
      </w:r>
      <w:r w:rsidR="00A86F70">
        <w:t xml:space="preserve">Aboriginal and Torres Strait Islander </w:t>
      </w:r>
      <w:r w:rsidR="005A2271" w:rsidRPr="00EE53BB">
        <w:t>children were 4.9 times more likely than non-Indigenous children to be reported to child protection authorities and 9.6 times more likely to be in out-of-home care or on third party parental responsibility orders.</w:t>
      </w:r>
      <w:r w:rsidR="005A2271" w:rsidRPr="00EE53BB">
        <w:rPr>
          <w:rStyle w:val="EndnoteReference"/>
        </w:rPr>
        <w:endnoteReference w:id="3"/>
      </w:r>
      <w:r w:rsidR="005A2271" w:rsidRPr="00EE53BB">
        <w:t xml:space="preserve"> The gap between these numbers represents a systemic failure to support First Nations families away from more intrusive interventions at every escalation point. </w:t>
      </w:r>
    </w:p>
    <w:p w14:paraId="0DD4CA56" w14:textId="6A264AE3" w:rsidR="005A2271" w:rsidRPr="00EE53BB" w:rsidRDefault="005A2271" w:rsidP="00974448">
      <w:r w:rsidRPr="00EE53BB">
        <w:t>This escalation continues into incarceration, to which exposure to the child protection system is a recognised driver.</w:t>
      </w:r>
      <w:r w:rsidRPr="00EE53BB">
        <w:rPr>
          <w:rStyle w:val="EndnoteReference"/>
        </w:rPr>
        <w:endnoteReference w:id="4"/>
      </w:r>
      <w:r w:rsidRPr="00EE53BB">
        <w:t xml:space="preserve"> Aboriginal and Torres Strait Islander children and young people make up approximately 6.6% of the population aged 10–17, yet they comprise 60% of all young people in detention.</w:t>
      </w:r>
      <w:r w:rsidRPr="00EE53BB">
        <w:rPr>
          <w:rStyle w:val="EndnoteReference"/>
        </w:rPr>
        <w:endnoteReference w:id="5"/>
      </w:r>
      <w:r w:rsidRPr="00EE53BB">
        <w:t xml:space="preserve"> They are 27 times more likely to be detained than their non-Indigenous peers, and the vast majority of those in detention have not been sentenced (84%).</w:t>
      </w:r>
      <w:r w:rsidR="005375F4">
        <w:rPr>
          <w:rStyle w:val="EndnoteReference"/>
        </w:rPr>
        <w:endnoteReference w:id="6"/>
      </w:r>
    </w:p>
    <w:p w14:paraId="32BB3583" w14:textId="372F53E3" w:rsidR="006B254C" w:rsidRPr="00EE53BB" w:rsidRDefault="005A2271" w:rsidP="006B254C">
      <w:r w:rsidRPr="00EE53BB">
        <w:t xml:space="preserve">These outcomes are produced at every stage of institutional decision-making. The 1991 </w:t>
      </w:r>
      <w:r w:rsidRPr="00EE53BB">
        <w:rPr>
          <w:i/>
          <w:iCs/>
        </w:rPr>
        <w:t xml:space="preserve">Royal Commission into Aboriginal Deaths in Custody </w:t>
      </w:r>
      <w:r w:rsidRPr="00EE53BB">
        <w:t>observed that First Nations children and young people were disproportionately dealt with by arrest rather than summons, compared with non-Indigenous offenders.</w:t>
      </w:r>
      <w:r w:rsidRPr="00EE53BB">
        <w:rPr>
          <w:rStyle w:val="EndnoteReference"/>
        </w:rPr>
        <w:endnoteReference w:id="7"/>
      </w:r>
      <w:r w:rsidRPr="00EE53BB">
        <w:t xml:space="preserve"> This disadvantage was compounded as they moved through the system, from the charging process to pre-trial filtering and eventually, to court. First Nations children and young people were given the more serious outcomes of the options available to decision makers. Recent research confirms that over-policing, bail refusal, stringent bail conditions, and over-policing of bail remain contributory factors in the over-representation of both First Nations adults and young people in the criminal justice system, and that punitive amendments to bail legislation are the primary driving factor for the increase in remand rates of Aboriginal and Torres Strait Islander people.</w:t>
      </w:r>
      <w:r w:rsidRPr="00EE53BB">
        <w:rPr>
          <w:rStyle w:val="EndnoteReference"/>
        </w:rPr>
        <w:endnoteReference w:id="8"/>
      </w:r>
    </w:p>
    <w:p w14:paraId="5FC96729" w14:textId="0E50051E" w:rsidR="00877DB6" w:rsidRPr="00EE53BB" w:rsidRDefault="006B254C" w:rsidP="006B254C">
      <w:r w:rsidRPr="00EE53BB">
        <w:t>Systems that disadvantage Aboriginal and Torres Strait Islander children and young people can</w:t>
      </w:r>
      <w:r w:rsidR="00DD3C62" w:rsidRPr="00EE53BB">
        <w:t xml:space="preserve"> also</w:t>
      </w:r>
      <w:r w:rsidRPr="00EE53BB">
        <w:t xml:space="preserve"> be mutually reinforcing, with one </w:t>
      </w:r>
      <w:r w:rsidR="00F74088">
        <w:t xml:space="preserve">system </w:t>
      </w:r>
      <w:r w:rsidRPr="00EE53BB">
        <w:t>compounding the harm of other</w:t>
      </w:r>
      <w:r w:rsidR="00F74088">
        <w:t xml:space="preserve"> </w:t>
      </w:r>
      <w:r w:rsidRPr="00EE53BB">
        <w:t>s</w:t>
      </w:r>
      <w:r w:rsidR="00F74088">
        <w:t>ystems</w:t>
      </w:r>
      <w:r w:rsidRPr="00EE53BB">
        <w:t xml:space="preserve"> and </w:t>
      </w:r>
      <w:r w:rsidR="00BD32C4">
        <w:t xml:space="preserve">combining to </w:t>
      </w:r>
      <w:r w:rsidRPr="00EE53BB">
        <w:t>increas</w:t>
      </w:r>
      <w:r w:rsidR="00BD32C4">
        <w:t>e the</w:t>
      </w:r>
      <w:r w:rsidRPr="00EE53BB">
        <w:t xml:space="preserve"> risk factors for further harm. For example, systemic disadvantages such as poverty, lack of housing, and lack of access to services are drivers for contact with the child protection system,</w:t>
      </w:r>
      <w:r w:rsidRPr="00EE53BB">
        <w:rPr>
          <w:rStyle w:val="EndnoteReference"/>
        </w:rPr>
        <w:endnoteReference w:id="9"/>
      </w:r>
      <w:r w:rsidRPr="00EE53BB">
        <w:rPr>
          <w:vertAlign w:val="superscript"/>
        </w:rPr>
        <w:t xml:space="preserve"> </w:t>
      </w:r>
      <w:r w:rsidRPr="00EE53BB">
        <w:t>which is, in turn, a driver for contact with the justice system.</w:t>
      </w:r>
      <w:r w:rsidRPr="00EE53BB">
        <w:rPr>
          <w:rStyle w:val="EndnoteReference"/>
        </w:rPr>
        <w:endnoteReference w:id="10"/>
      </w:r>
      <w:r w:rsidRPr="00EE53BB">
        <w:rPr>
          <w:vertAlign w:val="superscript"/>
        </w:rPr>
        <w:t xml:space="preserve"> </w:t>
      </w:r>
      <w:r w:rsidRPr="00EE53BB">
        <w:t xml:space="preserve">Factors that contribute to this </w:t>
      </w:r>
      <w:r w:rsidR="00F7204D">
        <w:t xml:space="preserve">disadvantage </w:t>
      </w:r>
      <w:r w:rsidRPr="00EE53BB">
        <w:t xml:space="preserve">pipeline include homelessness due to failures in the child protection system and ‘care criminalisation’ – where the justice system is used to respond to behaviours that would </w:t>
      </w:r>
      <w:r w:rsidR="00232693">
        <w:t xml:space="preserve">otherwise </w:t>
      </w:r>
      <w:r w:rsidRPr="00EE53BB">
        <w:t xml:space="preserve"> be </w:t>
      </w:r>
      <w:r w:rsidR="00474A87" w:rsidRPr="00EE53BB">
        <w:t>managed</w:t>
      </w:r>
      <w:r w:rsidRPr="00EE53BB">
        <w:t xml:space="preserve"> by a child’s family.</w:t>
      </w:r>
      <w:r w:rsidRPr="00EE53BB">
        <w:rPr>
          <w:rStyle w:val="EndnoteReference"/>
        </w:rPr>
        <w:endnoteReference w:id="11"/>
      </w:r>
      <w:r w:rsidR="00877DB6" w:rsidRPr="00EE53BB">
        <w:t xml:space="preserve"> </w:t>
      </w:r>
      <w:r w:rsidR="00840AD5" w:rsidRPr="00EE53BB">
        <w:t xml:space="preserve">Victoria’s </w:t>
      </w:r>
      <w:proofErr w:type="spellStart"/>
      <w:r w:rsidR="00840AD5" w:rsidRPr="00EE53BB">
        <w:t>Yoorrook</w:t>
      </w:r>
      <w:proofErr w:type="spellEnd"/>
      <w:r w:rsidR="00840AD5" w:rsidRPr="00EE53BB">
        <w:t xml:space="preserve"> Justice Commission </w:t>
      </w:r>
      <w:r w:rsidR="00530309" w:rsidRPr="00EE53BB">
        <w:t>observed that ‘m</w:t>
      </w:r>
      <w:r w:rsidR="00E74D92" w:rsidRPr="00EE53BB">
        <w:t>any vulnerable children are channelled into the criminal legal system due to a failure to identify and support their health and disability needs or to understand the link between challenging behaviours and trauma</w:t>
      </w:r>
      <w:r w:rsidR="00530309" w:rsidRPr="00EE53BB">
        <w:t>’</w:t>
      </w:r>
      <w:r w:rsidR="00B409C9" w:rsidRPr="00EE53BB">
        <w:t>, and that, i</w:t>
      </w:r>
      <w:r w:rsidR="00291FF9" w:rsidRPr="00EE53BB">
        <w:t xml:space="preserve">n some cases, the pipeline </w:t>
      </w:r>
      <w:r w:rsidR="004869D0" w:rsidRPr="00EE53BB">
        <w:t xml:space="preserve">to incarceration </w:t>
      </w:r>
      <w:r w:rsidR="00291FF9" w:rsidRPr="00EE53BB">
        <w:t>begins before a child is even born, such as seen in t</w:t>
      </w:r>
      <w:r w:rsidR="007363CC" w:rsidRPr="00EE53BB">
        <w:t xml:space="preserve">he practice of identifying expectant mothers </w:t>
      </w:r>
      <w:r w:rsidR="002F5F54" w:rsidRPr="00EE53BB">
        <w:t>for future removals.</w:t>
      </w:r>
      <w:r w:rsidR="002F5F54" w:rsidRPr="00EE53BB">
        <w:rPr>
          <w:rStyle w:val="EndnoteReference"/>
        </w:rPr>
        <w:endnoteReference w:id="12"/>
      </w:r>
      <w:r w:rsidR="00AD4F57" w:rsidRPr="00EE53BB">
        <w:t xml:space="preserve"> </w:t>
      </w:r>
      <w:r w:rsidR="005D7899" w:rsidRPr="00EE53BB">
        <w:t xml:space="preserve"> </w:t>
      </w:r>
    </w:p>
    <w:p w14:paraId="65630AC4" w14:textId="59AE4B22" w:rsidR="003F32D1" w:rsidRPr="00EE53BB" w:rsidRDefault="00695D7A" w:rsidP="00695D7A">
      <w:r w:rsidRPr="00EE53BB">
        <w:t>The Australian Human Rights Commission</w:t>
      </w:r>
      <w:r w:rsidR="0024708D">
        <w:t>’s</w:t>
      </w:r>
      <w:r w:rsidRPr="00EE53BB">
        <w:t xml:space="preserve"> </w:t>
      </w:r>
      <w:r w:rsidR="0024708D">
        <w:t>r</w:t>
      </w:r>
      <w:r w:rsidRPr="00EE53BB">
        <w:t xml:space="preserve">eport, </w:t>
      </w:r>
      <w:r w:rsidR="005639D3" w:rsidRPr="00EE53BB">
        <w:rPr>
          <w:i/>
          <w:iCs/>
        </w:rPr>
        <w:t xml:space="preserve">Help Way </w:t>
      </w:r>
      <w:proofErr w:type="gramStart"/>
      <w:r w:rsidR="005639D3" w:rsidRPr="00EE53BB">
        <w:rPr>
          <w:i/>
          <w:iCs/>
        </w:rPr>
        <w:t>Earlier</w:t>
      </w:r>
      <w:r w:rsidR="0024708D">
        <w:rPr>
          <w:i/>
          <w:iCs/>
        </w:rPr>
        <w:t>!</w:t>
      </w:r>
      <w:r w:rsidR="00155AAA">
        <w:rPr>
          <w:i/>
          <w:iCs/>
        </w:rPr>
        <w:t>,</w:t>
      </w:r>
      <w:proofErr w:type="gramEnd"/>
      <w:r w:rsidR="005639D3" w:rsidRPr="00EE53BB">
        <w:t xml:space="preserve"> found that m</w:t>
      </w:r>
      <w:r w:rsidRPr="00EE53BB">
        <w:t xml:space="preserve">any children in contact with child </w:t>
      </w:r>
      <w:r w:rsidR="005639D3" w:rsidRPr="00EE53BB">
        <w:t xml:space="preserve">and youth </w:t>
      </w:r>
      <w:r w:rsidRPr="00EE53BB">
        <w:t>justice systems have experiences of poverty, violence and abuse, intergenerational trauma, mental health issues, homelessness, drug and alcohol abuse</w:t>
      </w:r>
      <w:r w:rsidR="00155AAA">
        <w:t>,</w:t>
      </w:r>
      <w:r w:rsidRPr="00EE53BB">
        <w:t xml:space="preserve"> and neurodevelopmental disabilities.</w:t>
      </w:r>
      <w:r w:rsidR="005639D3" w:rsidRPr="00EE53BB">
        <w:t xml:space="preserve"> Many of these children are also </w:t>
      </w:r>
      <w:r w:rsidRPr="00EE53BB">
        <w:t>in the child protection system or living in out-of-home care.</w:t>
      </w:r>
      <w:r w:rsidR="008E099B" w:rsidRPr="00EE53BB">
        <w:rPr>
          <w:rStyle w:val="EndnoteReference"/>
        </w:rPr>
        <w:endnoteReference w:id="13"/>
      </w:r>
      <w:r w:rsidR="002B5014" w:rsidRPr="00EE53BB">
        <w:t xml:space="preserve"> </w:t>
      </w:r>
      <w:r w:rsidR="005639D3" w:rsidRPr="00EE53BB">
        <w:t xml:space="preserve">The </w:t>
      </w:r>
      <w:r w:rsidR="00354314">
        <w:t>r</w:t>
      </w:r>
      <w:r w:rsidR="005639D3" w:rsidRPr="00EE53BB">
        <w:t>eport identified that</w:t>
      </w:r>
      <w:r w:rsidR="00354314">
        <w:t>,</w:t>
      </w:r>
      <w:r w:rsidR="005639D3" w:rsidRPr="00EE53BB">
        <w:t xml:space="preserve"> if these </w:t>
      </w:r>
      <w:r w:rsidRPr="00EE53BB">
        <w:t>children at risk are supported earlier</w:t>
      </w:r>
      <w:r w:rsidR="00237B2A" w:rsidRPr="00EE53BB">
        <w:t xml:space="preserve">, across all their intersecting needs, </w:t>
      </w:r>
      <w:r w:rsidRPr="00EE53BB">
        <w:t>they are less likely to be involved in criminal activity.</w:t>
      </w:r>
      <w:r w:rsidR="0043196F">
        <w:t xml:space="preserve"> </w:t>
      </w:r>
      <w:r w:rsidR="0043196F" w:rsidRPr="001E37F4">
        <w:rPr>
          <w:rFonts w:cs="Open Sans"/>
          <w:iCs/>
        </w:rPr>
        <w:t xml:space="preserve">The Special Rapporteur on the Rights of Indigenous </w:t>
      </w:r>
      <w:r w:rsidR="0043196F">
        <w:rPr>
          <w:rFonts w:cs="Open Sans"/>
          <w:iCs/>
        </w:rPr>
        <w:t>P</w:t>
      </w:r>
      <w:r w:rsidR="0043196F" w:rsidRPr="001E37F4">
        <w:rPr>
          <w:rFonts w:cs="Open Sans"/>
          <w:iCs/>
        </w:rPr>
        <w:t>eoples</w:t>
      </w:r>
      <w:r w:rsidR="0043196F">
        <w:rPr>
          <w:rFonts w:cs="Open Sans"/>
          <w:iCs/>
        </w:rPr>
        <w:t xml:space="preserve"> has also highlighted serious concerns regarding carceral responses for minor, non-violent youth offending, saying ‘</w:t>
      </w:r>
      <w:r w:rsidR="0043196F" w:rsidRPr="00A52F4C">
        <w:rPr>
          <w:rFonts w:cs="Open Sans"/>
          <w:iCs/>
        </w:rPr>
        <w:t>Aboriginal and Torres Strait Islander children are essentially being punished for being poor and, in most cases, prison will only perpetuate the cycle of violence, intergenerational trauma, poverty and crime</w:t>
      </w:r>
      <w:r w:rsidR="0043196F">
        <w:rPr>
          <w:rFonts w:cs="Open Sans"/>
          <w:iCs/>
        </w:rPr>
        <w:t>’.</w:t>
      </w:r>
      <w:r w:rsidR="0043196F" w:rsidRPr="00A65286">
        <w:rPr>
          <w:rStyle w:val="EndnoteReference"/>
          <w:rFonts w:cs="Open Sans"/>
          <w:sz w:val="22"/>
        </w:rPr>
        <w:endnoteReference w:id="14"/>
      </w:r>
    </w:p>
    <w:p w14:paraId="4C1761EF" w14:textId="1C6368B9" w:rsidR="006B254C" w:rsidRPr="00EE53BB" w:rsidRDefault="006B254C" w:rsidP="006B254C">
      <w:r w:rsidRPr="00EE53BB">
        <w:lastRenderedPageBreak/>
        <w:t>Imprisonment can go on to affect young people’s social, health and economic outcomes, including employment, financial situation, housing, and</w:t>
      </w:r>
      <w:r w:rsidR="00345883" w:rsidRPr="00EE53BB">
        <w:t xml:space="preserve"> physical and mental</w:t>
      </w:r>
      <w:r w:rsidRPr="00EE53BB">
        <w:t xml:space="preserve"> health.</w:t>
      </w:r>
      <w:r w:rsidRPr="00EE53BB">
        <w:rPr>
          <w:rStyle w:val="EndnoteReference"/>
        </w:rPr>
        <w:endnoteReference w:id="15"/>
      </w:r>
      <w:r w:rsidRPr="00EE53BB">
        <w:rPr>
          <w:vertAlign w:val="superscript"/>
        </w:rPr>
        <w:t xml:space="preserve"> </w:t>
      </w:r>
      <w:r w:rsidRPr="00EE53BB">
        <w:t xml:space="preserve">This compounds existing mental health challenges faced by </w:t>
      </w:r>
      <w:r w:rsidR="00B46514">
        <w:t xml:space="preserve"> Aboriginal and Torres Strait Islander </w:t>
      </w:r>
      <w:r w:rsidRPr="00EE53BB">
        <w:t xml:space="preserve">young people due to factors such as racism, intergenerational trauma, lack of access to services, and family stress like removal, </w:t>
      </w:r>
      <w:r w:rsidR="00E43207" w:rsidRPr="00EE53BB">
        <w:t xml:space="preserve">family </w:t>
      </w:r>
      <w:r w:rsidRPr="00EE53BB">
        <w:t>incarceration, and deaths in the family.</w:t>
      </w:r>
      <w:r w:rsidRPr="00EE53BB">
        <w:rPr>
          <w:rStyle w:val="EndnoteReference"/>
        </w:rPr>
        <w:endnoteReference w:id="16"/>
      </w:r>
      <w:r w:rsidRPr="00EE53BB">
        <w:rPr>
          <w:vertAlign w:val="superscript"/>
        </w:rPr>
        <w:t xml:space="preserve"> </w:t>
      </w:r>
      <w:r w:rsidRPr="00EE53BB">
        <w:t>Young people in out-of-home care and custody also have high incidences of self-harm and suicidal behaviour. A history of self-harm contributes to an elevated risk of death by suicide</w:t>
      </w:r>
      <w:r w:rsidRPr="00EE53BB">
        <w:rPr>
          <w:rStyle w:val="EndnoteReference"/>
        </w:rPr>
        <w:endnoteReference w:id="17"/>
      </w:r>
      <w:r w:rsidRPr="00EE53BB">
        <w:t xml:space="preserve"> –</w:t>
      </w:r>
      <w:r w:rsidRPr="00EE53BB">
        <w:rPr>
          <w:vertAlign w:val="superscript"/>
        </w:rPr>
        <w:t xml:space="preserve"> </w:t>
      </w:r>
      <w:r w:rsidRPr="00EE53BB">
        <w:t xml:space="preserve">rates of which among </w:t>
      </w:r>
      <w:r w:rsidR="001D1D79">
        <w:t xml:space="preserve">Aboriginal and Torres Strait Islander </w:t>
      </w:r>
      <w:r w:rsidRPr="00EE53BB">
        <w:t xml:space="preserve">young people are 3 times </w:t>
      </w:r>
      <w:r w:rsidR="00AE7D70">
        <w:t>higher than</w:t>
      </w:r>
      <w:r w:rsidRPr="00EE53BB">
        <w:t xml:space="preserve"> their non-Indigenous peers, with 1 in 5 deaths </w:t>
      </w:r>
      <w:r w:rsidR="003658E3">
        <w:t>of First Nations</w:t>
      </w:r>
      <w:r w:rsidR="00A36E3B">
        <w:t xml:space="preserve"> young people </w:t>
      </w:r>
      <w:r w:rsidRPr="00EE53BB">
        <w:t>caused by suicide.</w:t>
      </w:r>
      <w:r w:rsidRPr="00EE53BB">
        <w:rPr>
          <w:rStyle w:val="EndnoteReference"/>
        </w:rPr>
        <w:endnoteReference w:id="18"/>
      </w:r>
    </w:p>
    <w:p w14:paraId="04CCD7E3" w14:textId="71FD94DF" w:rsidR="005A2271" w:rsidRPr="00EE53BB" w:rsidRDefault="005A2271" w:rsidP="00974448">
      <w:r w:rsidRPr="00EE53BB">
        <w:t>School systems also produce racialised exclusions that drive contact with the justice system. In states and territories with publicly a</w:t>
      </w:r>
      <w:r w:rsidR="00F022CA" w:rsidRPr="00EE53BB">
        <w:t>ccessible</w:t>
      </w:r>
      <w:r w:rsidRPr="00EE53BB">
        <w:t xml:space="preserve"> data, First Nations students are overrepresented in disciplinary </w:t>
      </w:r>
      <w:r w:rsidR="00703EDD">
        <w:t>exclusions</w:t>
      </w:r>
      <w:r w:rsidRPr="00EE53BB">
        <w:t xml:space="preserve"> </w:t>
      </w:r>
      <w:r w:rsidR="00545102" w:rsidRPr="00EE53BB">
        <w:t>(</w:t>
      </w:r>
      <w:r w:rsidRPr="00EE53BB">
        <w:t>suspensions and expulsions</w:t>
      </w:r>
      <w:r w:rsidR="00545102" w:rsidRPr="00EE53BB">
        <w:t>)</w:t>
      </w:r>
      <w:r w:rsidRPr="00EE53BB">
        <w:t>.</w:t>
      </w:r>
      <w:r w:rsidRPr="00EE53BB">
        <w:rPr>
          <w:rStyle w:val="EndnoteReference"/>
        </w:rPr>
        <w:endnoteReference w:id="19"/>
      </w:r>
      <w:r w:rsidRPr="00EE53BB">
        <w:t xml:space="preserve"> In New South Wales, Aboriginal and Torres Strait Islander students are suspended at </w:t>
      </w:r>
      <w:r w:rsidR="00B70FE6">
        <w:t>3</w:t>
      </w:r>
      <w:r w:rsidR="00B70FE6" w:rsidRPr="00EE53BB">
        <w:t xml:space="preserve"> </w:t>
      </w:r>
      <w:r w:rsidRPr="00EE53BB">
        <w:t>times the rate of their peers, and more than half of the young people in youth detention have been expelled from school.</w:t>
      </w:r>
      <w:r w:rsidRPr="00EE53BB">
        <w:rPr>
          <w:rStyle w:val="EndnoteReference"/>
        </w:rPr>
        <w:endnoteReference w:id="20"/>
      </w:r>
      <w:r w:rsidR="00810FA9" w:rsidRPr="00EE53BB">
        <w:t xml:space="preserve"> </w:t>
      </w:r>
      <w:r w:rsidRPr="00EE53BB">
        <w:t>Research from the United States shows that these</w:t>
      </w:r>
      <w:r w:rsidR="00E01811" w:rsidRPr="00EE53BB">
        <w:t xml:space="preserve"> types of</w:t>
      </w:r>
      <w:r w:rsidRPr="00EE53BB">
        <w:t xml:space="preserve"> disproportionate exclusionary practices </w:t>
      </w:r>
      <w:r w:rsidR="0022350A" w:rsidRPr="00EE53BB">
        <w:t xml:space="preserve">in schools </w:t>
      </w:r>
      <w:r w:rsidRPr="00EE53BB">
        <w:t>contribute to racial trauma, poorer educational outcomes, impacts on employment, and increased risk of engagement with police and the justice system.</w:t>
      </w:r>
      <w:r w:rsidRPr="00EE53BB">
        <w:rPr>
          <w:rStyle w:val="EndnoteReference"/>
        </w:rPr>
        <w:endnoteReference w:id="21"/>
      </w:r>
      <w:r w:rsidRPr="00EE53BB">
        <w:t xml:space="preserve"> </w:t>
      </w:r>
    </w:p>
    <w:p w14:paraId="03C09477" w14:textId="56A236CC" w:rsidR="00B13717" w:rsidRPr="00EE53BB" w:rsidRDefault="003B33FB" w:rsidP="00FA0B17">
      <w:r w:rsidRPr="00EE53BB">
        <w:t>These p</w:t>
      </w:r>
      <w:r w:rsidR="00D13E24" w:rsidRPr="00EE53BB">
        <w:t xml:space="preserve">ipelines are exacerbated by </w:t>
      </w:r>
      <w:r w:rsidR="00FA0B17" w:rsidRPr="00EE53BB">
        <w:t xml:space="preserve">racialised </w:t>
      </w:r>
      <w:r w:rsidR="00D13E24" w:rsidRPr="00EE53BB">
        <w:t>state</w:t>
      </w:r>
      <w:r w:rsidR="00FA0B17" w:rsidRPr="00EE53BB">
        <w:t xml:space="preserve"> surveillance. Predictive policing tools, suspect targeting frameworks, and information-sharing arrangements between child protection, education, and police agencies disproportionately identify First Nations children as risks to be managed.</w:t>
      </w:r>
      <w:r w:rsidR="001A57F6" w:rsidRPr="00EE53BB">
        <w:rPr>
          <w:rStyle w:val="EndnoteReference"/>
        </w:rPr>
        <w:endnoteReference w:id="22"/>
      </w:r>
      <w:r w:rsidR="00FA0B17" w:rsidRPr="00EE53BB">
        <w:t xml:space="preserve"> The </w:t>
      </w:r>
      <w:r w:rsidR="00BC0D1D" w:rsidRPr="00EE53BB">
        <w:t xml:space="preserve">Law Enforcement Conduct Commission found that the </w:t>
      </w:r>
      <w:r w:rsidR="00FA0B17" w:rsidRPr="00EE53BB">
        <w:t>former New South Wales Suspect Targets Management Plan disproportionately targeted Aboriginal children and young people, some as young as 10, for repeated police contact without evidence-based justification.</w:t>
      </w:r>
      <w:r w:rsidR="009963A3" w:rsidRPr="00EE53BB">
        <w:rPr>
          <w:rStyle w:val="EndnoteReference"/>
        </w:rPr>
        <w:endnoteReference w:id="23"/>
      </w:r>
      <w:r w:rsidR="00FA0B17" w:rsidRPr="00EE53BB">
        <w:t xml:space="preserve"> </w:t>
      </w:r>
      <w:r w:rsidR="005E498D" w:rsidRPr="00EE53BB">
        <w:t xml:space="preserve">Firearms prohibition orders have also </w:t>
      </w:r>
      <w:r w:rsidR="00B1714A" w:rsidRPr="00EE53BB">
        <w:t xml:space="preserve">raised </w:t>
      </w:r>
      <w:r w:rsidR="00F64354" w:rsidRPr="00EE53BB">
        <w:t>serious questions</w:t>
      </w:r>
      <w:r w:rsidR="005E498D" w:rsidRPr="00EE53BB">
        <w:t xml:space="preserve"> </w:t>
      </w:r>
      <w:r w:rsidR="007C3A08" w:rsidRPr="00EE53BB">
        <w:t xml:space="preserve">about </w:t>
      </w:r>
      <w:r w:rsidR="00B1714A" w:rsidRPr="00EE53BB">
        <w:t>disproportionate surveillance of First Nations children</w:t>
      </w:r>
      <w:r w:rsidR="005E498D" w:rsidRPr="00EE53BB">
        <w:t xml:space="preserve"> in New South Wales</w:t>
      </w:r>
      <w:r w:rsidR="00533D65" w:rsidRPr="00EE53BB">
        <w:t>, described by lawyers as a ‘blank cheque’ to target Indigenous youth</w:t>
      </w:r>
      <w:r w:rsidR="00142047" w:rsidRPr="00EE53BB">
        <w:t>.</w:t>
      </w:r>
      <w:r w:rsidR="002B782B">
        <w:rPr>
          <w:rStyle w:val="EndnoteReference"/>
        </w:rPr>
        <w:endnoteReference w:id="24"/>
      </w:r>
    </w:p>
    <w:p w14:paraId="39DF456A" w14:textId="5B4979CD" w:rsidR="002C03E0" w:rsidRPr="00EE53BB" w:rsidRDefault="00FA0B17" w:rsidP="00FA0B17">
      <w:r w:rsidRPr="00EE53BB">
        <w:t>School-based policing programs, mandatory reporting settings that over-identify First Nations families, and the use of child protection histories in bail and sentencing decisions all operate as racialised infrastructure.</w:t>
      </w:r>
      <w:r w:rsidR="00920210" w:rsidRPr="00EE53BB">
        <w:rPr>
          <w:rStyle w:val="EndnoteReference"/>
        </w:rPr>
        <w:endnoteReference w:id="25"/>
      </w:r>
      <w:r w:rsidRPr="00EE53BB">
        <w:t xml:space="preserve"> These systems treat data about First Nations children as a resource for risk management rather than as information held in trust, and they compound the surveillance children experience in their communities and online. </w:t>
      </w:r>
    </w:p>
    <w:p w14:paraId="2952B38B" w14:textId="7FB0A258" w:rsidR="00FA0B17" w:rsidRDefault="00FA0B17" w:rsidP="00FA0B17">
      <w:r w:rsidRPr="00EE53BB">
        <w:t xml:space="preserve">The principles of Indigenous Data Sovereignty, as articulated by the </w:t>
      </w:r>
      <w:proofErr w:type="spellStart"/>
      <w:r w:rsidRPr="00EE53BB">
        <w:t>Maiam</w:t>
      </w:r>
      <w:proofErr w:type="spellEnd"/>
      <w:r w:rsidRPr="00EE53BB">
        <w:t xml:space="preserve"> </w:t>
      </w:r>
      <w:proofErr w:type="spellStart"/>
      <w:r w:rsidRPr="00EE53BB">
        <w:t>nayri</w:t>
      </w:r>
      <w:proofErr w:type="spellEnd"/>
      <w:r w:rsidRPr="00EE53BB">
        <w:t xml:space="preserve"> </w:t>
      </w:r>
      <w:proofErr w:type="spellStart"/>
      <w:r w:rsidRPr="00EE53BB">
        <w:t>Wingara</w:t>
      </w:r>
      <w:proofErr w:type="spellEnd"/>
      <w:r w:rsidRPr="00EE53BB">
        <w:t xml:space="preserve"> Indigenous Data Sovereignty Collective, provide a framework for reform. First Nations peoples must have authority over how data about their children is collected, used, and shared, and governments must move away from data practices that entrench surveillance and towards data practices that support self-determination.</w:t>
      </w:r>
      <w:r w:rsidR="00E62D96" w:rsidRPr="00EE53BB">
        <w:rPr>
          <w:rStyle w:val="EndnoteReference"/>
        </w:rPr>
        <w:endnoteReference w:id="26"/>
      </w:r>
    </w:p>
    <w:p w14:paraId="2A2A8CBF" w14:textId="0067C72A" w:rsidR="00374DC9" w:rsidRDefault="0013355D" w:rsidP="00F61FD7">
      <w:pPr>
        <w:pStyle w:val="Heading3"/>
      </w:pPr>
      <w:r>
        <w:t>Intersectionality</w:t>
      </w:r>
    </w:p>
    <w:p w14:paraId="0ABBECBC" w14:textId="1E1CE482" w:rsidR="003F1429" w:rsidRDefault="00AD1454" w:rsidP="00AB0FA7">
      <w:r>
        <w:t>The harms of racism</w:t>
      </w:r>
      <w:r w:rsidR="006B14FE">
        <w:t xml:space="preserve"> compound around </w:t>
      </w:r>
      <w:r>
        <w:t>i</w:t>
      </w:r>
      <w:r w:rsidR="00695FD0">
        <w:t xml:space="preserve">ntersecting factors </w:t>
      </w:r>
      <w:r w:rsidR="00CC0467">
        <w:t>such as gender, disability, and LGBTQIA+ status</w:t>
      </w:r>
      <w:r w:rsidR="00C665E7">
        <w:t xml:space="preserve"> in ways that require </w:t>
      </w:r>
      <w:r w:rsidR="00C627C0">
        <w:t xml:space="preserve">recognition and </w:t>
      </w:r>
      <w:r w:rsidR="00013848">
        <w:t>appropriate</w:t>
      </w:r>
      <w:r w:rsidR="00C665E7">
        <w:t xml:space="preserve"> responses</w:t>
      </w:r>
      <w:r w:rsidR="00C627C0">
        <w:t>.</w:t>
      </w:r>
      <w:r w:rsidR="005924C4">
        <w:t xml:space="preserve"> </w:t>
      </w:r>
    </w:p>
    <w:p w14:paraId="23730544" w14:textId="3D302E48" w:rsidR="00620444" w:rsidRDefault="005924C4" w:rsidP="00AB0FA7">
      <w:r>
        <w:t>While</w:t>
      </w:r>
      <w:r w:rsidR="00D90276">
        <w:t xml:space="preserve"> </w:t>
      </w:r>
      <w:r w:rsidR="00C07384">
        <w:t xml:space="preserve">First Nations girls and boys are both </w:t>
      </w:r>
      <w:r>
        <w:t>detained at higher rates than their non-Indigenous peers,</w:t>
      </w:r>
      <w:r w:rsidR="0051548E">
        <w:t xml:space="preserve"> t</w:t>
      </w:r>
      <w:r w:rsidR="0051548E" w:rsidRPr="0051548E">
        <w:t xml:space="preserve">he proportion of </w:t>
      </w:r>
      <w:r w:rsidR="00B6245F">
        <w:t>girls in detention</w:t>
      </w:r>
      <w:r w:rsidR="0051548E" w:rsidRPr="0051548E">
        <w:t xml:space="preserve"> </w:t>
      </w:r>
      <w:r w:rsidR="00B6245F">
        <w:t>i</w:t>
      </w:r>
      <w:r w:rsidR="0051548E" w:rsidRPr="0051548E">
        <w:t>s higher among First Nations young people than among non-Indigenous</w:t>
      </w:r>
      <w:r w:rsidR="00041973">
        <w:t xml:space="preserve"> young people</w:t>
      </w:r>
      <w:r w:rsidR="0051548E" w:rsidRPr="0051548E">
        <w:t xml:space="preserve"> across all age groups</w:t>
      </w:r>
      <w:r>
        <w:t>.</w:t>
      </w:r>
      <w:r w:rsidR="00B83502">
        <w:rPr>
          <w:rStyle w:val="EndnoteReference"/>
        </w:rPr>
        <w:endnoteReference w:id="27"/>
      </w:r>
      <w:r w:rsidR="008F36C8">
        <w:t xml:space="preserve"> </w:t>
      </w:r>
      <w:r w:rsidR="00A86AFD">
        <w:t xml:space="preserve">The </w:t>
      </w:r>
      <w:r w:rsidR="007F2D2C">
        <w:t>Australian Law Reform Commission has identified First Nations women as among the fastest growing prisoner populations in Australia</w:t>
      </w:r>
      <w:r w:rsidR="00EC5B99">
        <w:t>.</w:t>
      </w:r>
      <w:r w:rsidR="00B03120">
        <w:rPr>
          <w:rStyle w:val="EndnoteReference"/>
        </w:rPr>
        <w:endnoteReference w:id="28"/>
      </w:r>
      <w:r w:rsidR="00EC5B99">
        <w:t xml:space="preserve"> </w:t>
      </w:r>
    </w:p>
    <w:p w14:paraId="79574286" w14:textId="7D817EAE" w:rsidR="00AB0FA7" w:rsidRDefault="008604BF" w:rsidP="00AB0FA7">
      <w:r>
        <w:t>D</w:t>
      </w:r>
      <w:r w:rsidR="007D58CA">
        <w:t>iscrimination and inequalities, poverty, and intergenerational trauma</w:t>
      </w:r>
      <w:r>
        <w:t xml:space="preserve"> are compounded by punitive legal and welfare structures,</w:t>
      </w:r>
      <w:r w:rsidR="0068408A">
        <w:t xml:space="preserve"> </w:t>
      </w:r>
      <w:r w:rsidR="00D25D5A">
        <w:t xml:space="preserve">resulting in a corrosive effect on </w:t>
      </w:r>
      <w:r w:rsidR="00B119F2">
        <w:t xml:space="preserve">First Nations </w:t>
      </w:r>
      <w:r w:rsidR="008E4D65">
        <w:t xml:space="preserve">cultural </w:t>
      </w:r>
      <w:r w:rsidR="003A45AC">
        <w:t>and social fabric</w:t>
      </w:r>
      <w:r w:rsidR="00C743E0">
        <w:t>, which</w:t>
      </w:r>
      <w:r w:rsidR="000200CA">
        <w:t xml:space="preserve"> form</w:t>
      </w:r>
      <w:r w:rsidR="00C743E0">
        <w:t>s</w:t>
      </w:r>
      <w:r w:rsidR="000200CA">
        <w:t xml:space="preserve"> the conditions for family violence</w:t>
      </w:r>
      <w:r w:rsidR="00462266">
        <w:t xml:space="preserve"> and further trauma.</w:t>
      </w:r>
      <w:r w:rsidR="00F2277B" w:rsidRPr="00F2277B">
        <w:rPr>
          <w:rStyle w:val="EndnoteReference"/>
        </w:rPr>
        <w:t xml:space="preserve"> </w:t>
      </w:r>
      <w:r w:rsidR="00F2277B">
        <w:rPr>
          <w:rStyle w:val="EndnoteReference"/>
        </w:rPr>
        <w:endnoteReference w:id="29"/>
      </w:r>
      <w:r w:rsidR="00462266">
        <w:t xml:space="preserve"> </w:t>
      </w:r>
      <w:r w:rsidR="00494235">
        <w:t xml:space="preserve">Cultural structures and practices </w:t>
      </w:r>
      <w:r w:rsidR="00B52156">
        <w:t>are not only protective factors</w:t>
      </w:r>
      <w:r w:rsidR="00B119F2">
        <w:t xml:space="preserve"> – they</w:t>
      </w:r>
      <w:r w:rsidR="00B52156">
        <w:t xml:space="preserve"> </w:t>
      </w:r>
      <w:r w:rsidR="00582435">
        <w:t>are fundamental rights</w:t>
      </w:r>
      <w:r w:rsidR="001B093E">
        <w:t>, foundations of wellbeing,</w:t>
      </w:r>
      <w:r w:rsidR="00403FA7">
        <w:t xml:space="preserve"> and </w:t>
      </w:r>
      <w:r w:rsidR="00B52156">
        <w:t>also enable healing</w:t>
      </w:r>
      <w:r w:rsidR="006D100B">
        <w:t>.</w:t>
      </w:r>
      <w:r w:rsidR="0012151A">
        <w:t xml:space="preserve"> </w:t>
      </w:r>
      <w:r w:rsidR="00DF5FAA">
        <w:t>When</w:t>
      </w:r>
      <w:r w:rsidR="003A1652">
        <w:t xml:space="preserve"> the structural origins </w:t>
      </w:r>
      <w:r w:rsidR="00DF5FAA">
        <w:t xml:space="preserve">of community fragmentation </w:t>
      </w:r>
      <w:r w:rsidR="003A1652">
        <w:t>are not recognised,</w:t>
      </w:r>
      <w:r w:rsidR="00916601">
        <w:t xml:space="preserve"> </w:t>
      </w:r>
      <w:r w:rsidR="0097682D">
        <w:t>women and girls</w:t>
      </w:r>
      <w:r w:rsidR="00D50107">
        <w:t>’</w:t>
      </w:r>
      <w:r w:rsidR="0097682D">
        <w:t xml:space="preserve"> </w:t>
      </w:r>
      <w:r w:rsidR="00916601">
        <w:t>experiences of</w:t>
      </w:r>
      <w:r w:rsidR="003A1652">
        <w:t xml:space="preserve"> </w:t>
      </w:r>
      <w:r w:rsidR="00AB0FA7">
        <w:t xml:space="preserve">trauma, abuse, and violence are too often met </w:t>
      </w:r>
      <w:r w:rsidR="00916601">
        <w:t xml:space="preserve">only </w:t>
      </w:r>
      <w:r w:rsidR="00AB0FA7">
        <w:t>with</w:t>
      </w:r>
      <w:r w:rsidR="00916601">
        <w:t xml:space="preserve"> </w:t>
      </w:r>
      <w:r w:rsidR="00AB0FA7">
        <w:t>more punitive interventions</w:t>
      </w:r>
      <w:r w:rsidR="00916601">
        <w:t>.</w:t>
      </w:r>
      <w:r w:rsidR="00671EBA">
        <w:rPr>
          <w:rStyle w:val="EndnoteReference"/>
        </w:rPr>
        <w:endnoteReference w:id="30"/>
      </w:r>
    </w:p>
    <w:p w14:paraId="247CA846" w14:textId="57FBACB5" w:rsidR="000748BD" w:rsidRDefault="00C237AD" w:rsidP="00946243">
      <w:r>
        <w:t>For First Nations children and young people with a disability, racism is compounded by ab</w:t>
      </w:r>
      <w:r w:rsidR="00EC78B7">
        <w:t>leism</w:t>
      </w:r>
      <w:r w:rsidR="00107AC5">
        <w:t xml:space="preserve"> and a lack of early support</w:t>
      </w:r>
      <w:r w:rsidR="00EC78B7">
        <w:t>, producing overrepresentation at every point in the justice system.</w:t>
      </w:r>
      <w:r w:rsidR="00520AF0">
        <w:rPr>
          <w:rStyle w:val="EndnoteReference"/>
        </w:rPr>
        <w:endnoteReference w:id="31"/>
      </w:r>
      <w:r w:rsidR="00874A44">
        <w:t xml:space="preserve"> </w:t>
      </w:r>
      <w:r w:rsidR="0052646E">
        <w:t xml:space="preserve">The </w:t>
      </w:r>
      <w:r w:rsidR="00946243" w:rsidRPr="00BA3ABD">
        <w:rPr>
          <w:i/>
        </w:rPr>
        <w:t>Royal Commission into Violence, Abuse, Neglect and Exploitation of People with Disability</w:t>
      </w:r>
      <w:r w:rsidR="00946243">
        <w:t xml:space="preserve"> des</w:t>
      </w:r>
      <w:r w:rsidR="00B0394C">
        <w:t>cribed the overincarceration of First Nations people with cognitive disability, particularly in youth detention, as a ‘hidden national crisis’.</w:t>
      </w:r>
      <w:r w:rsidR="00227BE5">
        <w:t xml:space="preserve"> </w:t>
      </w:r>
      <w:r w:rsidR="003B38A3">
        <w:t>We know that screening</w:t>
      </w:r>
      <w:r w:rsidR="006C5ECD">
        <w:t>,</w:t>
      </w:r>
      <w:r w:rsidR="003B38A3">
        <w:t xml:space="preserve"> assessment</w:t>
      </w:r>
      <w:r w:rsidR="006C5ECD">
        <w:t xml:space="preserve">, and early </w:t>
      </w:r>
      <w:r w:rsidR="00B07684">
        <w:t>support</w:t>
      </w:r>
      <w:r w:rsidR="003B38A3">
        <w:t xml:space="preserve"> have the potential to</w:t>
      </w:r>
      <w:r w:rsidR="00B07684">
        <w:t xml:space="preserve"> </w:t>
      </w:r>
      <w:r w:rsidR="009D48ED">
        <w:t>reduce educational exclusion and</w:t>
      </w:r>
      <w:r w:rsidR="003B38A3">
        <w:t xml:space="preserve"> divert </w:t>
      </w:r>
      <w:r w:rsidR="003B38A3">
        <w:lastRenderedPageBreak/>
        <w:t>children away from the justice system</w:t>
      </w:r>
      <w:r w:rsidR="002C63F7">
        <w:t>.</w:t>
      </w:r>
      <w:r w:rsidR="00573C87">
        <w:rPr>
          <w:rStyle w:val="EndnoteReference"/>
        </w:rPr>
        <w:endnoteReference w:id="32"/>
      </w:r>
      <w:r w:rsidR="002C63F7">
        <w:t xml:space="preserve"> </w:t>
      </w:r>
      <w:r w:rsidR="00363129">
        <w:t xml:space="preserve">The </w:t>
      </w:r>
      <w:r w:rsidR="00B62E28">
        <w:t xml:space="preserve">ongoing </w:t>
      </w:r>
      <w:r w:rsidR="00363129">
        <w:t xml:space="preserve">failure to </w:t>
      </w:r>
      <w:r w:rsidR="000E276C">
        <w:t xml:space="preserve">meet these needs </w:t>
      </w:r>
      <w:r w:rsidR="00573C87">
        <w:t>is</w:t>
      </w:r>
      <w:r w:rsidR="00893E68">
        <w:t xml:space="preserve"> effectively</w:t>
      </w:r>
      <w:r w:rsidR="00573C87">
        <w:t xml:space="preserve"> a choice to </w:t>
      </w:r>
      <w:r w:rsidR="00B62E28">
        <w:t>respond punitively to children with disability</w:t>
      </w:r>
      <w:r w:rsidR="00573C87">
        <w:t>.</w:t>
      </w:r>
    </w:p>
    <w:p w14:paraId="103BD09E" w14:textId="5F4BCA19" w:rsidR="00B8587F" w:rsidRDefault="00063C56" w:rsidP="00563E15">
      <w:r>
        <w:t xml:space="preserve">First Nations </w:t>
      </w:r>
      <w:r w:rsidR="00F27A69">
        <w:t xml:space="preserve">LGBTQIA+ children and young people </w:t>
      </w:r>
      <w:r w:rsidR="00E00E0F">
        <w:t>experience</w:t>
      </w:r>
      <w:r w:rsidR="001B19CD">
        <w:t xml:space="preserve"> systemic</w:t>
      </w:r>
      <w:r w:rsidR="00E00E0F">
        <w:t xml:space="preserve"> racism compounded by discrimination based on their sexual orientation or gender identity.</w:t>
      </w:r>
      <w:r w:rsidR="00451DB4">
        <w:t xml:space="preserve"> This includes in</w:t>
      </w:r>
      <w:r w:rsidR="00635BE4">
        <w:t xml:space="preserve"> their interactions with</w:t>
      </w:r>
      <w:r w:rsidR="00451DB4">
        <w:t xml:space="preserve"> services </w:t>
      </w:r>
      <w:r w:rsidR="00DC0456">
        <w:t>that are meant to support them, which may</w:t>
      </w:r>
      <w:r w:rsidR="003D704D">
        <w:t xml:space="preserve"> not provide culturally competent care</w:t>
      </w:r>
      <w:r w:rsidR="00C921A0">
        <w:t xml:space="preserve"> or </w:t>
      </w:r>
      <w:r w:rsidR="00DC0456">
        <w:t xml:space="preserve">visible signs that </w:t>
      </w:r>
      <w:r w:rsidR="000B21F0">
        <w:t>make them</w:t>
      </w:r>
      <w:r w:rsidR="00DC0456">
        <w:t xml:space="preserve"> welcome</w:t>
      </w:r>
      <w:r w:rsidR="003D704D">
        <w:t>.</w:t>
      </w:r>
      <w:r w:rsidR="009D3B6E">
        <w:rPr>
          <w:rStyle w:val="EndnoteReference"/>
        </w:rPr>
        <w:endnoteReference w:id="33"/>
      </w:r>
      <w:r w:rsidR="00E00E0F">
        <w:t xml:space="preserve"> </w:t>
      </w:r>
      <w:r w:rsidR="00BD0BBE">
        <w:t>A</w:t>
      </w:r>
      <w:r w:rsidR="00BD0BBE" w:rsidRPr="00BD0BBE">
        <w:t xml:space="preserve"> national survey of First Nations LGBTQIA+ young people’s mental health and social and emotional wellbeing</w:t>
      </w:r>
      <w:r w:rsidR="00BD0BBE">
        <w:t xml:space="preserve"> found that </w:t>
      </w:r>
      <w:r w:rsidR="00672D8B" w:rsidRPr="00672D8B">
        <w:t>nearly half of participants had attempted suicide</w:t>
      </w:r>
      <w:r w:rsidR="00603072">
        <w:t xml:space="preserve"> and that m</w:t>
      </w:r>
      <w:r w:rsidR="00672D8B">
        <w:t xml:space="preserve">ore than </w:t>
      </w:r>
      <w:r w:rsidR="00603072">
        <w:t xml:space="preserve">90% </w:t>
      </w:r>
      <w:r w:rsidR="00672D8B">
        <w:t>reported having high or very high levels of psychological distress.</w:t>
      </w:r>
      <w:r w:rsidR="00F2606E">
        <w:rPr>
          <w:rStyle w:val="EndnoteReference"/>
        </w:rPr>
        <w:endnoteReference w:id="34"/>
      </w:r>
      <w:r w:rsidR="009D45E3">
        <w:t xml:space="preserve"> It found that i</w:t>
      </w:r>
      <w:r w:rsidR="00B8587F" w:rsidRPr="00B8587F">
        <w:t>nadequate or inappropriate service provision for Aboriginal and Torres Strait Islander LGBTQ</w:t>
      </w:r>
      <w:r w:rsidR="00CD2ED3">
        <w:t>I</w:t>
      </w:r>
      <w:r w:rsidR="00B8587F" w:rsidRPr="00B8587F">
        <w:t>A+ young people results in distrust, stress, reluctance to seek help, and feelings of invisibility</w:t>
      </w:r>
      <w:r w:rsidR="00CD2ED3">
        <w:t>.</w:t>
      </w:r>
    </w:p>
    <w:p w14:paraId="3B54F3C9" w14:textId="51E88C94" w:rsidR="00B55275" w:rsidRPr="0013355D" w:rsidRDefault="0092772D" w:rsidP="00946243">
      <w:r>
        <w:t xml:space="preserve">Effective responses to </w:t>
      </w:r>
      <w:r w:rsidR="0077602D">
        <w:t>racism, hate, and violence directed at First Nations children and young people must be capable of identifying and addressing intersectional needs and compounding experiences</w:t>
      </w:r>
      <w:r w:rsidR="00757677">
        <w:t xml:space="preserve"> such as these</w:t>
      </w:r>
      <w:r w:rsidR="00997380">
        <w:t>.</w:t>
      </w:r>
    </w:p>
    <w:p w14:paraId="762BB81F" w14:textId="29F31DE2" w:rsidR="00A53126" w:rsidRPr="00EE53BB" w:rsidRDefault="00A53126" w:rsidP="00F61FD7">
      <w:pPr>
        <w:pStyle w:val="Heading3"/>
      </w:pPr>
      <w:r w:rsidRPr="00EE53BB">
        <w:t xml:space="preserve">Institutional </w:t>
      </w:r>
      <w:r w:rsidR="00F80DD8" w:rsidRPr="00EE53BB">
        <w:t>violence and</w:t>
      </w:r>
      <w:r w:rsidRPr="00EE53BB">
        <w:t xml:space="preserve"> </w:t>
      </w:r>
      <w:r w:rsidR="00F7536C" w:rsidRPr="00EE53BB">
        <w:t>abuse</w:t>
      </w:r>
    </w:p>
    <w:p w14:paraId="1C3770C9" w14:textId="73C95770" w:rsidR="003C611F" w:rsidRPr="00EE53BB" w:rsidRDefault="00BE282E" w:rsidP="00A53126">
      <w:r w:rsidRPr="00EE53BB">
        <w:t xml:space="preserve">Institutional </w:t>
      </w:r>
      <w:r w:rsidR="00F7536C" w:rsidRPr="00EE53BB">
        <w:t>abuse</w:t>
      </w:r>
      <w:r w:rsidR="008B39C6" w:rsidRPr="00EE53BB">
        <w:t xml:space="preserve"> inflict</w:t>
      </w:r>
      <w:r w:rsidR="005974B2" w:rsidRPr="00EE53BB">
        <w:t>s</w:t>
      </w:r>
      <w:r w:rsidR="008B39C6" w:rsidRPr="00EE53BB">
        <w:t xml:space="preserve"> profound harm</w:t>
      </w:r>
      <w:r w:rsidR="00596DEE" w:rsidRPr="00EE53BB">
        <w:t>,</w:t>
      </w:r>
      <w:r w:rsidR="00F8382C" w:rsidRPr="00EE53BB">
        <w:t xml:space="preserve"> and </w:t>
      </w:r>
      <w:r w:rsidR="00596DEE" w:rsidRPr="00EE53BB">
        <w:t xml:space="preserve">it </w:t>
      </w:r>
      <w:r w:rsidR="00F8382C" w:rsidRPr="00EE53BB">
        <w:t>often appears in contexts where</w:t>
      </w:r>
      <w:r w:rsidR="008B39C6" w:rsidRPr="00EE53BB">
        <w:t xml:space="preserve"> First Nations children and young people </w:t>
      </w:r>
      <w:r w:rsidR="00F8382C" w:rsidRPr="00EE53BB">
        <w:t>are overrepresented, such as</w:t>
      </w:r>
      <w:r w:rsidR="005B3FAD" w:rsidRPr="00EE53BB">
        <w:t xml:space="preserve"> in </w:t>
      </w:r>
      <w:r w:rsidR="00596DEE" w:rsidRPr="00EE53BB">
        <w:t>the out-of-home care and justice systems.</w:t>
      </w:r>
      <w:r w:rsidR="005B3FAD" w:rsidRPr="00EE53BB">
        <w:t xml:space="preserve"> </w:t>
      </w:r>
      <w:r w:rsidR="003470F3" w:rsidRPr="00EE53BB">
        <w:t xml:space="preserve">The </w:t>
      </w:r>
      <w:r w:rsidR="00947CC6" w:rsidRPr="00EE53BB">
        <w:rPr>
          <w:i/>
          <w:iCs/>
        </w:rPr>
        <w:t>Royal Commission into Institutional Responses to Child Sexual Abuse</w:t>
      </w:r>
      <w:r w:rsidR="00947CC6" w:rsidRPr="00EE53BB">
        <w:t xml:space="preserve"> </w:t>
      </w:r>
      <w:r w:rsidR="0014070D" w:rsidRPr="00EE53BB">
        <w:t>found that</w:t>
      </w:r>
      <w:r w:rsidR="00E77A57" w:rsidRPr="00EE53BB">
        <w:t xml:space="preserve"> First Nations children experienced </w:t>
      </w:r>
      <w:r w:rsidR="00E568BD" w:rsidRPr="00EE53BB">
        <w:t xml:space="preserve">sexual </w:t>
      </w:r>
      <w:r w:rsidR="00E77A57" w:rsidRPr="00EE53BB">
        <w:t>abuse and exploitation in out-of-home care settings, and that</w:t>
      </w:r>
      <w:r w:rsidR="0014070D" w:rsidRPr="00EE53BB">
        <w:t xml:space="preserve"> it can also </w:t>
      </w:r>
      <w:r w:rsidR="003C611F" w:rsidRPr="00EE53BB">
        <w:t xml:space="preserve">be more difficult for First Nations children to </w:t>
      </w:r>
      <w:r w:rsidR="000708BB" w:rsidRPr="00EE53BB">
        <w:t>make a disclosure that abuse has occurred.</w:t>
      </w:r>
      <w:r w:rsidR="0014070D" w:rsidRPr="00EE53BB">
        <w:rPr>
          <w:rStyle w:val="EndnoteReference"/>
        </w:rPr>
        <w:endnoteReference w:id="35"/>
      </w:r>
    </w:p>
    <w:p w14:paraId="0752AD13" w14:textId="292F720F" w:rsidR="00A53126" w:rsidRPr="00EE53BB" w:rsidRDefault="00A53126" w:rsidP="00A53126">
      <w:r w:rsidRPr="00EE53BB">
        <w:t xml:space="preserve">The </w:t>
      </w:r>
      <w:proofErr w:type="spellStart"/>
      <w:r w:rsidRPr="00EE53BB">
        <w:t>Yoorrook</w:t>
      </w:r>
      <w:proofErr w:type="spellEnd"/>
      <w:r w:rsidRPr="00EE53BB">
        <w:t xml:space="preserve"> Justice Commission described widespread and ingrained systemically racist policing in Victoria</w:t>
      </w:r>
      <w:r w:rsidR="006F1E77" w:rsidRPr="00EE53BB">
        <w:t xml:space="preserve">, </w:t>
      </w:r>
      <w:r w:rsidR="00070518" w:rsidRPr="00EE53BB">
        <w:t>extending to</w:t>
      </w:r>
      <w:r w:rsidRPr="00EE53BB">
        <w:t xml:space="preserve"> accounts of police brutality including physical assault, degrading treatment, racial slurs, and psychological abuse.</w:t>
      </w:r>
      <w:r w:rsidR="002808F0" w:rsidRPr="00EE53BB">
        <w:rPr>
          <w:rStyle w:val="EndnoteReference"/>
        </w:rPr>
        <w:endnoteReference w:id="36"/>
      </w:r>
      <w:r w:rsidRPr="00EE53BB">
        <w:t xml:space="preserve"> </w:t>
      </w:r>
      <w:proofErr w:type="spellStart"/>
      <w:r w:rsidRPr="00EE53BB">
        <w:t>Yoorrook</w:t>
      </w:r>
      <w:proofErr w:type="spellEnd"/>
      <w:r w:rsidRPr="00EE53BB">
        <w:t xml:space="preserve"> explicitly rejected the notion that police brutality was a result of individualised action by ‘bad apples’, but rather observed that it is ‘supported by the systemic racism that continues to pervade the organisation’.</w:t>
      </w:r>
      <w:r w:rsidR="0009769F" w:rsidRPr="00EE53BB">
        <w:t xml:space="preserve"> This is compounded by </w:t>
      </w:r>
      <w:r w:rsidR="00F17FB9" w:rsidRPr="00EE53BB">
        <w:t>a lack of oversight and accountability</w:t>
      </w:r>
      <w:r w:rsidR="003F5C5D" w:rsidRPr="00EE53BB">
        <w:t xml:space="preserve">, which </w:t>
      </w:r>
      <w:proofErr w:type="spellStart"/>
      <w:r w:rsidR="003F5C5D" w:rsidRPr="00EE53BB">
        <w:t>Yoorrook</w:t>
      </w:r>
      <w:proofErr w:type="spellEnd"/>
      <w:r w:rsidR="003F5C5D" w:rsidRPr="00EE53BB">
        <w:t xml:space="preserve"> characterised as conflict of interest ‘baked into’ the system.</w:t>
      </w:r>
    </w:p>
    <w:p w14:paraId="4689E959" w14:textId="49CBAD18" w:rsidR="00284D41" w:rsidRDefault="00284D41" w:rsidP="00A53126">
      <w:r w:rsidRPr="00EE53BB">
        <w:t xml:space="preserve">The </w:t>
      </w:r>
      <w:r w:rsidRPr="00EE53BB">
        <w:rPr>
          <w:i/>
          <w:iCs/>
        </w:rPr>
        <w:t>Royal Commission into the Detention and Protection of Children in the Northern Territory</w:t>
      </w:r>
      <w:r w:rsidRPr="00EE53BB">
        <w:t xml:space="preserve"> </w:t>
      </w:r>
      <w:r w:rsidR="006E0A49" w:rsidRPr="00EE53BB">
        <w:t>d</w:t>
      </w:r>
      <w:r w:rsidR="00D80415" w:rsidRPr="00EE53BB">
        <w:t>escribed</w:t>
      </w:r>
      <w:r w:rsidR="006E0A49" w:rsidRPr="00EE53BB">
        <w:t xml:space="preserve"> conduct by </w:t>
      </w:r>
      <w:r w:rsidR="00D80415" w:rsidRPr="00EE53BB">
        <w:t xml:space="preserve">youth justice officers </w:t>
      </w:r>
      <w:r w:rsidR="00845E48" w:rsidRPr="00EE53BB">
        <w:t xml:space="preserve">in Northern Territory detention centres </w:t>
      </w:r>
      <w:r w:rsidR="00D80415" w:rsidRPr="00EE53BB">
        <w:t>as ‘</w:t>
      </w:r>
      <w:r w:rsidRPr="00EE53BB">
        <w:t>abuses of power and excessive forms of control and humiliation</w:t>
      </w:r>
      <w:r w:rsidR="00D80415" w:rsidRPr="00EE53BB">
        <w:t>’.</w:t>
      </w:r>
      <w:r w:rsidR="000E0C36" w:rsidRPr="00EE53BB">
        <w:rPr>
          <w:rStyle w:val="EndnoteReference"/>
        </w:rPr>
        <w:endnoteReference w:id="37"/>
      </w:r>
      <w:r w:rsidR="004B2D4B" w:rsidRPr="00EE53BB">
        <w:t xml:space="preserve"> This included </w:t>
      </w:r>
      <w:r w:rsidR="00D16CDD" w:rsidRPr="00EE53BB">
        <w:t>the</w:t>
      </w:r>
      <w:r w:rsidR="004B2D4B" w:rsidRPr="00EE53BB">
        <w:t xml:space="preserve"> use of</w:t>
      </w:r>
      <w:r w:rsidR="00D16CDD" w:rsidRPr="00EE53BB">
        <w:t xml:space="preserve"> excessive</w:t>
      </w:r>
      <w:r w:rsidR="004B2D4B" w:rsidRPr="00EE53BB">
        <w:t xml:space="preserve"> force, strip searches, isolation, </w:t>
      </w:r>
      <w:r w:rsidR="000E007A" w:rsidRPr="00EE53BB">
        <w:t xml:space="preserve">tear gas, </w:t>
      </w:r>
      <w:r w:rsidR="004B2D4B" w:rsidRPr="00EE53BB">
        <w:t>spit hoods and restraints</w:t>
      </w:r>
      <w:r w:rsidR="00D16CDD" w:rsidRPr="00EE53BB">
        <w:t xml:space="preserve">, as well as </w:t>
      </w:r>
      <w:r w:rsidR="00E37BD8" w:rsidRPr="00EE53BB">
        <w:t xml:space="preserve">verbal abuse and racist remarks, </w:t>
      </w:r>
      <w:r w:rsidR="00D16CDD" w:rsidRPr="00EE53BB">
        <w:t xml:space="preserve">inappropriate sexual attention, </w:t>
      </w:r>
      <w:r w:rsidR="0069193A" w:rsidRPr="00EE53BB">
        <w:t>denial of</w:t>
      </w:r>
      <w:r w:rsidR="00346DF9" w:rsidRPr="00EE53BB">
        <w:t xml:space="preserve"> drinking</w:t>
      </w:r>
      <w:r w:rsidR="0069193A" w:rsidRPr="00EE53BB">
        <w:t xml:space="preserve"> water</w:t>
      </w:r>
      <w:r w:rsidR="00130E20" w:rsidRPr="00EE53BB">
        <w:t xml:space="preserve"> and the use of toilets</w:t>
      </w:r>
      <w:r w:rsidR="0069193A" w:rsidRPr="00EE53BB">
        <w:t>,</w:t>
      </w:r>
      <w:r w:rsidR="00240E30" w:rsidRPr="00EE53BB">
        <w:t xml:space="preserve"> bribing children to fight one another and </w:t>
      </w:r>
      <w:r w:rsidR="00184AF7" w:rsidRPr="00EE53BB">
        <w:t xml:space="preserve">carry out degrading acts, and filming </w:t>
      </w:r>
      <w:r w:rsidR="00E37BD8" w:rsidRPr="00EE53BB">
        <w:t>children in the shower.</w:t>
      </w:r>
    </w:p>
    <w:p w14:paraId="1DF0FA9E" w14:textId="1EFBE8A9" w:rsidR="00B47BBD" w:rsidRDefault="005F1825" w:rsidP="00F75D57">
      <w:r>
        <w:t>In recent years, t</w:t>
      </w:r>
      <w:r w:rsidR="002B4A3C">
        <w:t xml:space="preserve">he Northern Territory has also </w:t>
      </w:r>
      <w:r>
        <w:t>seen the</w:t>
      </w:r>
      <w:r w:rsidR="009C42E6">
        <w:t xml:space="preserve"> tragic and</w:t>
      </w:r>
      <w:r>
        <w:t xml:space="preserve"> </w:t>
      </w:r>
      <w:r w:rsidR="009C42E6">
        <w:t xml:space="preserve">avoidable </w:t>
      </w:r>
      <w:r>
        <w:t xml:space="preserve">deaths of </w:t>
      </w:r>
      <w:r w:rsidR="009C42E6">
        <w:t>2</w:t>
      </w:r>
      <w:r w:rsidR="003D75F1">
        <w:t xml:space="preserve"> Warlpiri</w:t>
      </w:r>
      <w:r>
        <w:t xml:space="preserve"> young people in interactions with police</w:t>
      </w:r>
      <w:r w:rsidR="009C42E6">
        <w:t xml:space="preserve">. </w:t>
      </w:r>
      <w:r w:rsidR="00DE325B">
        <w:t xml:space="preserve">In 2022, </w:t>
      </w:r>
      <w:r w:rsidR="00B66BC6">
        <w:t xml:space="preserve">Zachary Rolfe was acquitted at trial for the </w:t>
      </w:r>
      <w:r w:rsidR="00DE325B">
        <w:t xml:space="preserve">2019 </w:t>
      </w:r>
      <w:r w:rsidR="00B66BC6">
        <w:t xml:space="preserve">death of 19-year-old </w:t>
      </w:r>
      <w:proofErr w:type="spellStart"/>
      <w:r w:rsidR="00B66BC6">
        <w:t>Kumanjayi</w:t>
      </w:r>
      <w:proofErr w:type="spellEnd"/>
      <w:r w:rsidR="00B66BC6">
        <w:t xml:space="preserve"> Walker</w:t>
      </w:r>
      <w:r w:rsidR="007941F7">
        <w:t>.</w:t>
      </w:r>
      <w:r w:rsidR="0036784F">
        <w:rPr>
          <w:rStyle w:val="EndnoteReference"/>
        </w:rPr>
        <w:endnoteReference w:id="38"/>
      </w:r>
      <w:r w:rsidR="009F4C41">
        <w:t xml:space="preserve"> </w:t>
      </w:r>
      <w:r w:rsidR="007941F7">
        <w:t xml:space="preserve">The coronial inquest </w:t>
      </w:r>
      <w:r w:rsidR="007B48B3">
        <w:t xml:space="preserve">found </w:t>
      </w:r>
      <w:r w:rsidR="00900953" w:rsidRPr="00900953">
        <w:t xml:space="preserve">clear evidence of entrenched systemic and structural racism within </w:t>
      </w:r>
      <w:r w:rsidR="009C0421">
        <w:t>the Northern Territory</w:t>
      </w:r>
      <w:r w:rsidR="00900953" w:rsidRPr="00900953">
        <w:t xml:space="preserve"> Police</w:t>
      </w:r>
      <w:r w:rsidR="009C0421">
        <w:t>,</w:t>
      </w:r>
      <w:r w:rsidR="00900953">
        <w:t xml:space="preserve"> </w:t>
      </w:r>
      <w:r w:rsidR="007B48B3">
        <w:t>that</w:t>
      </w:r>
      <w:r w:rsidR="009415D4">
        <w:t xml:space="preserve"> Rolfe’s racism could have </w:t>
      </w:r>
      <w:r w:rsidR="00FA4C20">
        <w:t>increased the likelihood of a fatal outcome</w:t>
      </w:r>
      <w:r w:rsidR="00DA0339">
        <w:t xml:space="preserve">, and that </w:t>
      </w:r>
      <w:r w:rsidR="00900953" w:rsidRPr="00900953">
        <w:t>Walker’s death was entirely avoidable</w:t>
      </w:r>
      <w:r w:rsidR="009C0421">
        <w:t>.</w:t>
      </w:r>
      <w:r w:rsidR="00C00C9C">
        <w:rPr>
          <w:rStyle w:val="EndnoteReference"/>
        </w:rPr>
        <w:endnoteReference w:id="39"/>
      </w:r>
      <w:r w:rsidR="009C0421">
        <w:t xml:space="preserve"> </w:t>
      </w:r>
      <w:r w:rsidR="00571223">
        <w:t>In 2025, s</w:t>
      </w:r>
      <w:r w:rsidR="004B62D2">
        <w:t xml:space="preserve">hortly before those findings were due to be delivered, </w:t>
      </w:r>
      <w:proofErr w:type="spellStart"/>
      <w:r w:rsidR="00534165" w:rsidRPr="00F60DDE">
        <w:t>Kumanjayi</w:t>
      </w:r>
      <w:proofErr w:type="spellEnd"/>
      <w:r w:rsidR="00534165" w:rsidRPr="00F60DDE">
        <w:t xml:space="preserve"> White</w:t>
      </w:r>
      <w:r w:rsidR="00517A4E">
        <w:t>, a 24-year-old man with cognitive disability,</w:t>
      </w:r>
      <w:r w:rsidR="00534165" w:rsidRPr="00F60DDE">
        <w:t xml:space="preserve"> </w:t>
      </w:r>
      <w:r w:rsidR="00F60DDE" w:rsidRPr="00F60DDE">
        <w:t>died after being restrained by police</w:t>
      </w:r>
      <w:r w:rsidR="001E0778" w:rsidRPr="001E0778">
        <w:t xml:space="preserve"> </w:t>
      </w:r>
      <w:r w:rsidR="001E0778" w:rsidRPr="00F60DDE">
        <w:t>in an Alice Springs supermarket</w:t>
      </w:r>
      <w:r w:rsidR="001E0778">
        <w:t xml:space="preserve">. </w:t>
      </w:r>
      <w:r w:rsidR="0071145F">
        <w:t xml:space="preserve">As of April 2026, the Northern Territory Police has confirmed that </w:t>
      </w:r>
      <w:r w:rsidR="00F75D57">
        <w:t>a</w:t>
      </w:r>
      <w:r w:rsidR="000C4B1C">
        <w:t xml:space="preserve"> police</w:t>
      </w:r>
      <w:r w:rsidR="00F75D57">
        <w:t xml:space="preserve"> investigation into the use of force has been completed</w:t>
      </w:r>
      <w:r w:rsidR="0071145F">
        <w:t xml:space="preserve">, but </w:t>
      </w:r>
      <w:r w:rsidR="00DD3341">
        <w:t>ha</w:t>
      </w:r>
      <w:r w:rsidR="00BB7008">
        <w:t>s</w:t>
      </w:r>
      <w:r w:rsidR="00DD3341">
        <w:t xml:space="preserve"> not indicated whether charges will be laid.</w:t>
      </w:r>
      <w:r w:rsidR="008026F9">
        <w:rPr>
          <w:rStyle w:val="EndnoteReference"/>
        </w:rPr>
        <w:endnoteReference w:id="40"/>
      </w:r>
    </w:p>
    <w:p w14:paraId="309E4794" w14:textId="446A7685" w:rsidR="00B626D8" w:rsidRPr="00B626D8" w:rsidRDefault="007D64E0" w:rsidP="00B626D8">
      <w:r>
        <w:t>Yuendumu c</w:t>
      </w:r>
      <w:r w:rsidR="0006585D">
        <w:t xml:space="preserve">ommunity leaders </w:t>
      </w:r>
      <w:r>
        <w:t xml:space="preserve">and family members have </w:t>
      </w:r>
      <w:r w:rsidR="00A85216">
        <w:t>tirelessly</w:t>
      </w:r>
      <w:r w:rsidR="00902596">
        <w:t xml:space="preserve"> </w:t>
      </w:r>
      <w:r w:rsidR="00A85216">
        <w:t>called for</w:t>
      </w:r>
      <w:r w:rsidR="00BD7971">
        <w:t xml:space="preserve"> action and solutions, </w:t>
      </w:r>
      <w:r w:rsidR="003769CF">
        <w:t xml:space="preserve">such as </w:t>
      </w:r>
      <w:r w:rsidR="004243BC" w:rsidRPr="004243BC">
        <w:t>independent and robust police accountability mechanisms</w:t>
      </w:r>
      <w:r w:rsidR="002C517C">
        <w:t xml:space="preserve"> –</w:t>
      </w:r>
      <w:r w:rsidR="004243BC">
        <w:t xml:space="preserve"> including</w:t>
      </w:r>
      <w:r w:rsidR="004243BC" w:rsidRPr="004243BC">
        <w:t xml:space="preserve"> </w:t>
      </w:r>
      <w:r w:rsidR="00DB5441">
        <w:t>independent investigation</w:t>
      </w:r>
      <w:r w:rsidR="008F5F85">
        <w:t>s</w:t>
      </w:r>
      <w:r w:rsidR="001E2DDB">
        <w:t xml:space="preserve"> into deaths in custody</w:t>
      </w:r>
      <w:r w:rsidR="002C517C">
        <w:t xml:space="preserve"> – </w:t>
      </w:r>
      <w:r w:rsidR="004243BC">
        <w:t xml:space="preserve">and </w:t>
      </w:r>
      <w:r w:rsidR="004243BC" w:rsidRPr="00933427">
        <w:t>proper resourcing for self-determined solutions</w:t>
      </w:r>
      <w:r w:rsidR="00CF7D9F">
        <w:t>.</w:t>
      </w:r>
      <w:r w:rsidR="004243BC">
        <w:rPr>
          <w:rStyle w:val="EndnoteReference"/>
        </w:rPr>
        <w:endnoteReference w:id="41"/>
      </w:r>
      <w:r w:rsidR="00B944C6">
        <w:t xml:space="preserve"> </w:t>
      </w:r>
      <w:r w:rsidR="000826BC">
        <w:t>A</w:t>
      </w:r>
      <w:r w:rsidR="000826BC" w:rsidRPr="00B626D8">
        <w:t xml:space="preserve">ccording to the Human Rights Committee’s </w:t>
      </w:r>
      <w:r w:rsidR="000826BC" w:rsidRPr="00BA3ABD">
        <w:rPr>
          <w:i/>
        </w:rPr>
        <w:t>General Comment No. 36</w:t>
      </w:r>
      <w:r w:rsidR="000826BC" w:rsidRPr="00A65286">
        <w:t xml:space="preserve"> </w:t>
      </w:r>
      <w:r w:rsidR="000826BC" w:rsidRPr="00B626D8">
        <w:t>on the</w:t>
      </w:r>
      <w:r w:rsidR="000826BC">
        <w:t xml:space="preserve"> </w:t>
      </w:r>
      <w:r w:rsidR="000826BC" w:rsidRPr="00BA3ABD">
        <w:rPr>
          <w:i/>
        </w:rPr>
        <w:t>International Covenant on Civil and Political Rights</w:t>
      </w:r>
      <w:r w:rsidR="000826BC">
        <w:t>,</w:t>
      </w:r>
      <w:r w:rsidR="000826BC" w:rsidRPr="00B626D8">
        <w:t xml:space="preserve"> </w:t>
      </w:r>
      <w:r w:rsidR="000826BC">
        <w:t>d</w:t>
      </w:r>
      <w:r w:rsidR="00B626D8" w:rsidRPr="00B626D8">
        <w:t>eaths in custody where police involvement is suspected must be investigated independently, impartially, and transparently.</w:t>
      </w:r>
      <w:r w:rsidR="00492DFF">
        <w:rPr>
          <w:rStyle w:val="EndnoteReference"/>
        </w:rPr>
        <w:endnoteReference w:id="42"/>
      </w:r>
    </w:p>
    <w:p w14:paraId="12CAEC96" w14:textId="3FFE08AC" w:rsidR="00130E20" w:rsidRPr="00EE53BB" w:rsidRDefault="003E4E19" w:rsidP="00A53126">
      <w:r w:rsidRPr="00EE53BB">
        <w:t>In other cases,</w:t>
      </w:r>
      <w:r w:rsidR="00F42F7D" w:rsidRPr="00EE53BB">
        <w:t xml:space="preserve"> the </w:t>
      </w:r>
      <w:r w:rsidR="00050AB4" w:rsidRPr="00EE53BB">
        <w:t>system</w:t>
      </w:r>
      <w:r w:rsidR="0065116E" w:rsidRPr="00EE53BB">
        <w:t xml:space="preserve"> alone is </w:t>
      </w:r>
      <w:r w:rsidR="00050AB4" w:rsidRPr="00EE53BB">
        <w:t>deadly</w:t>
      </w:r>
      <w:r w:rsidR="0065116E" w:rsidRPr="00EE53BB">
        <w:t xml:space="preserve">. </w:t>
      </w:r>
      <w:r w:rsidR="005572A3" w:rsidRPr="00EE53BB">
        <w:t xml:space="preserve">In 2000, 9 years after the </w:t>
      </w:r>
      <w:r w:rsidR="005572A3" w:rsidRPr="00EE53BB">
        <w:rPr>
          <w:i/>
          <w:iCs/>
        </w:rPr>
        <w:t>Royal Commission into Aboriginal Deaths in Custody</w:t>
      </w:r>
      <w:r w:rsidR="005572A3" w:rsidRPr="00EE53BB">
        <w:t xml:space="preserve"> recommended removing hanging points from prisons,</w:t>
      </w:r>
      <w:r w:rsidR="000A3DCC" w:rsidRPr="00EE53BB">
        <w:rPr>
          <w:rStyle w:val="EndnoteReference"/>
        </w:rPr>
        <w:endnoteReference w:id="43"/>
      </w:r>
      <w:r w:rsidR="007F0DE5">
        <w:t xml:space="preserve"> </w:t>
      </w:r>
      <w:r w:rsidR="00630727" w:rsidRPr="00EE53BB">
        <w:t>15-year-old Johnno Wurramarrba</w:t>
      </w:r>
      <w:r w:rsidR="00DD35F3" w:rsidRPr="00EE53BB">
        <w:t xml:space="preserve"> died </w:t>
      </w:r>
      <w:r w:rsidR="007A7B2D" w:rsidRPr="00EE53BB">
        <w:t>after being found</w:t>
      </w:r>
      <w:r w:rsidR="00BC6461" w:rsidRPr="00EE53BB">
        <w:t xml:space="preserve"> unresponsive</w:t>
      </w:r>
      <w:r w:rsidR="007A7B2D" w:rsidRPr="00EE53BB">
        <w:t xml:space="preserve"> in his room at Don Dale Juvenile Detention centre. </w:t>
      </w:r>
      <w:r w:rsidR="004D27CB" w:rsidRPr="00EE53BB">
        <w:t>He had been sentenced for stealing school station</w:t>
      </w:r>
      <w:r w:rsidR="00711D27" w:rsidRPr="00EE53BB">
        <w:t>e</w:t>
      </w:r>
      <w:r w:rsidR="004D27CB" w:rsidRPr="00EE53BB">
        <w:t>ry</w:t>
      </w:r>
      <w:r w:rsidR="00D35935" w:rsidRPr="00EE53BB">
        <w:t>.</w:t>
      </w:r>
      <w:r w:rsidR="00183FA1" w:rsidRPr="00EE53BB">
        <w:rPr>
          <w:rStyle w:val="EndnoteReference"/>
        </w:rPr>
        <w:endnoteReference w:id="44"/>
      </w:r>
      <w:r w:rsidR="00E1044E" w:rsidRPr="00EE53BB">
        <w:t xml:space="preserve"> </w:t>
      </w:r>
      <w:r w:rsidR="00163D4E" w:rsidRPr="00EE53BB">
        <w:t xml:space="preserve">23 years </w:t>
      </w:r>
      <w:r w:rsidR="000A673C" w:rsidRPr="00EE53BB">
        <w:t>after that</w:t>
      </w:r>
      <w:r w:rsidR="00163D4E" w:rsidRPr="00EE53BB">
        <w:t>, 16-year-old Cleveland Dodd</w:t>
      </w:r>
      <w:r w:rsidR="00B145B9" w:rsidRPr="00EE53BB">
        <w:t xml:space="preserve"> </w:t>
      </w:r>
      <w:r w:rsidR="00B1415B" w:rsidRPr="00EE53BB">
        <w:t>used a hanging point in his cell in the Banksia Hill Detention Centre to take his own life.</w:t>
      </w:r>
      <w:r w:rsidR="00E048DB" w:rsidRPr="00EE53BB">
        <w:rPr>
          <w:rStyle w:val="EndnoteReference"/>
        </w:rPr>
        <w:endnoteReference w:id="45"/>
      </w:r>
    </w:p>
    <w:p w14:paraId="500B7200" w14:textId="0F7E4847" w:rsidR="009C7D23" w:rsidRPr="00EE53BB" w:rsidRDefault="00B37EE2" w:rsidP="0099100E">
      <w:r w:rsidRPr="00EE53BB">
        <w:lastRenderedPageBreak/>
        <w:t>Institutional</w:t>
      </w:r>
      <w:r w:rsidR="005F5457" w:rsidRPr="00EE53BB">
        <w:t xml:space="preserve"> </w:t>
      </w:r>
      <w:r w:rsidR="00ED7D88" w:rsidRPr="00EE53BB">
        <w:t>violence and abuse</w:t>
      </w:r>
      <w:r w:rsidR="005F5457" w:rsidRPr="00EE53BB">
        <w:t xml:space="preserve"> is compounded by the absence of cultural safety</w:t>
      </w:r>
      <w:r w:rsidRPr="00EE53BB">
        <w:t xml:space="preserve"> in </w:t>
      </w:r>
      <w:r w:rsidR="00C63D2C" w:rsidRPr="00EE53BB">
        <w:t>institutions and workforces</w:t>
      </w:r>
      <w:r w:rsidR="00F81CBA" w:rsidRPr="00EE53BB">
        <w:t xml:space="preserve">. </w:t>
      </w:r>
      <w:r w:rsidR="008E3611" w:rsidRPr="00EE53BB">
        <w:t>First Nations c</w:t>
      </w:r>
      <w:r w:rsidR="007C3658" w:rsidRPr="00EE53BB">
        <w:t xml:space="preserve">hildren </w:t>
      </w:r>
      <w:r w:rsidR="008E3611" w:rsidRPr="00EE53BB">
        <w:t xml:space="preserve">and young people </w:t>
      </w:r>
      <w:r w:rsidR="007C3658" w:rsidRPr="00EE53BB">
        <w:t xml:space="preserve">are frequently </w:t>
      </w:r>
      <w:r w:rsidR="008E3611" w:rsidRPr="00EE53BB">
        <w:t xml:space="preserve">placed in environments </w:t>
      </w:r>
      <w:r w:rsidR="00DE0352" w:rsidRPr="00EE53BB">
        <w:t>in which their identity</w:t>
      </w:r>
      <w:r w:rsidR="00F27C78" w:rsidRPr="00EE53BB">
        <w:t xml:space="preserve">, </w:t>
      </w:r>
      <w:r w:rsidR="00B52EAF" w:rsidRPr="00EE53BB">
        <w:t xml:space="preserve">language, </w:t>
      </w:r>
      <w:r w:rsidR="005F7DEF" w:rsidRPr="00EE53BB">
        <w:t xml:space="preserve">culture, </w:t>
      </w:r>
      <w:r w:rsidR="00B52EAF" w:rsidRPr="00EE53BB">
        <w:t>and connections to Country are not understood, respected, or supported, and where complaints of racism are minimised or not investigated</w:t>
      </w:r>
      <w:r w:rsidR="007F0B0B" w:rsidRPr="00EE53BB">
        <w:t>, which is a further violence perpetrated against them</w:t>
      </w:r>
      <w:r w:rsidR="00B52EAF" w:rsidRPr="00EE53BB">
        <w:t>.</w:t>
      </w:r>
      <w:r w:rsidR="005C32F2" w:rsidRPr="00EE53BB">
        <w:t xml:space="preserve"> </w:t>
      </w:r>
    </w:p>
    <w:p w14:paraId="257A83CC" w14:textId="75F621AB" w:rsidR="00206E60" w:rsidRPr="00EE53BB" w:rsidRDefault="00B74378" w:rsidP="00F61FD7">
      <w:pPr>
        <w:pStyle w:val="Heading3"/>
      </w:pPr>
      <w:r w:rsidRPr="00EE53BB">
        <w:t>Online platforms, media, and political rhetoric</w:t>
      </w:r>
    </w:p>
    <w:p w14:paraId="1F756CBA" w14:textId="335EAA61" w:rsidR="005A2271" w:rsidRPr="00EE53BB" w:rsidRDefault="005A2271" w:rsidP="00C634FC">
      <w:r w:rsidRPr="00EE53BB">
        <w:t xml:space="preserve">First Nations children and young people </w:t>
      </w:r>
      <w:r w:rsidR="00EA6E79" w:rsidRPr="00EE53BB">
        <w:t xml:space="preserve">use the internet </w:t>
      </w:r>
      <w:r w:rsidR="00287E32" w:rsidRPr="00EE53BB">
        <w:t xml:space="preserve">for civic engagement and staying </w:t>
      </w:r>
      <w:r w:rsidRPr="00EE53BB">
        <w:t>informed. A 2023 study by the eSafety Commissioner surveyed 223 Aboriginal and Torres Strait Islander children and young people aged 8–17</w:t>
      </w:r>
      <w:r w:rsidR="00967A6B" w:rsidRPr="00EE53BB">
        <w:t xml:space="preserve"> and</w:t>
      </w:r>
      <w:r w:rsidRPr="00EE53BB">
        <w:t xml:space="preserve"> found that, compared with their peers, they are more likely to access news online and twice as likely to regularly discuss social and political problems online.</w:t>
      </w:r>
      <w:r w:rsidRPr="00EE53BB">
        <w:rPr>
          <w:rStyle w:val="EndnoteReference"/>
        </w:rPr>
        <w:endnoteReference w:id="46"/>
      </w:r>
      <w:r w:rsidRPr="00EE53BB">
        <w:t xml:space="preserve"> However, they are also much more likely to be treated in a hurtful or nasty way online, including experiencing online hate speech. These experiences can have significant impacts – 31% of respondents reported detriment to their mental health, 23% reported lower educational performance, and 27% reported damage to their reputation.</w:t>
      </w:r>
    </w:p>
    <w:p w14:paraId="4ABA483D" w14:textId="2C3994DE" w:rsidR="004B2733" w:rsidRPr="00EE53BB" w:rsidRDefault="00F4776E" w:rsidP="008A70B2">
      <w:r w:rsidRPr="00EE53BB">
        <w:t xml:space="preserve">The </w:t>
      </w:r>
      <w:r w:rsidR="005A2271" w:rsidRPr="00EE53BB">
        <w:t xml:space="preserve">2024 </w:t>
      </w:r>
      <w:r w:rsidRPr="00EE53BB">
        <w:t xml:space="preserve">statutory </w:t>
      </w:r>
      <w:r w:rsidR="005A2271" w:rsidRPr="00EE53BB">
        <w:t xml:space="preserve">review of the </w:t>
      </w:r>
      <w:r w:rsidR="005A2271" w:rsidRPr="00EE53BB">
        <w:rPr>
          <w:i/>
          <w:iCs/>
        </w:rPr>
        <w:t>Online Safety Act 2021</w:t>
      </w:r>
      <w:r w:rsidR="005A2271" w:rsidRPr="00EE53BB">
        <w:t xml:space="preserve"> found that further regulatory intervention is needed to address the harms arising from online hate, including updates to tackle anonymous hate speech.</w:t>
      </w:r>
      <w:r w:rsidR="005A2271" w:rsidRPr="00EE53BB">
        <w:rPr>
          <w:rStyle w:val="EndnoteReference"/>
        </w:rPr>
        <w:endnoteReference w:id="47"/>
      </w:r>
      <w:r w:rsidR="005A2271" w:rsidRPr="00EE53BB">
        <w:t xml:space="preserve"> It recommended </w:t>
      </w:r>
      <w:r w:rsidR="004B2733" w:rsidRPr="00EE53BB">
        <w:t>that Australia adopt an overarching duty of care and that the best interests of the child are a primary consideration for online service providers in assessing and mitigating risks, including risks to children who may use the service and risks to children as a result of how the service may be used.</w:t>
      </w:r>
    </w:p>
    <w:p w14:paraId="37FCA5EA" w14:textId="1C177DDF" w:rsidR="005A2271" w:rsidRPr="00EE53BB" w:rsidRDefault="005A2271" w:rsidP="008A70B2">
      <w:r w:rsidRPr="00EE53BB">
        <w:t>These recommendations are also important for addressing the rise of ‘cyber-vigilantism’, dominant online narratives, and their impacts on First Nations children and young people. Unofficial crime control via Facebook groups has emerged as a prominent area of hate speech and incitement to violence, often with a focus on youth crime.</w:t>
      </w:r>
      <w:r w:rsidRPr="00EE53BB">
        <w:rPr>
          <w:rStyle w:val="EndnoteReference"/>
        </w:rPr>
        <w:endnoteReference w:id="48"/>
      </w:r>
      <w:r w:rsidRPr="00EE53BB">
        <w:t xml:space="preserve"> Research has found that online forums sustain elevated perceptions of crime and stigmatisation of particular demographic groups,</w:t>
      </w:r>
      <w:r w:rsidRPr="00EE53BB">
        <w:rPr>
          <w:rStyle w:val="EndnoteReference"/>
        </w:rPr>
        <w:endnoteReference w:id="49"/>
      </w:r>
      <w:r w:rsidRPr="00EE53BB">
        <w:t xml:space="preserve"> ‘constantly reinforce an environment of racist violence’, and legitimise violence against First Nations children and young people.</w:t>
      </w:r>
      <w:r w:rsidRPr="00EE53BB">
        <w:rPr>
          <w:rStyle w:val="EndnoteReference"/>
        </w:rPr>
        <w:endnoteReference w:id="50"/>
      </w:r>
      <w:r w:rsidRPr="00EE53BB">
        <w:t xml:space="preserve"> Overseas, research has identified links between social media and violent hate crimes in both Europe and the United State</w:t>
      </w:r>
      <w:r w:rsidR="00AD1265" w:rsidRPr="00EE53BB">
        <w:t>s</w:t>
      </w:r>
      <w:r w:rsidRPr="00EE53BB">
        <w:t>.</w:t>
      </w:r>
      <w:r w:rsidRPr="00EE53BB">
        <w:rPr>
          <w:rStyle w:val="EndnoteReference"/>
        </w:rPr>
        <w:endnoteReference w:id="51"/>
      </w:r>
      <w:r w:rsidR="00AD1265" w:rsidRPr="00EE53BB">
        <w:t xml:space="preserve"> Australian researchers have similarly begun to</w:t>
      </w:r>
      <w:r w:rsidR="000F7663" w:rsidRPr="00EE53BB">
        <w:t xml:space="preserve"> examine connections between calls for violence on social media </w:t>
      </w:r>
      <w:r w:rsidR="00B869C3" w:rsidRPr="00EE53BB">
        <w:t xml:space="preserve">and violent attacks, such as that which resulted in the death of </w:t>
      </w:r>
      <w:r w:rsidR="004B5566" w:rsidRPr="00EE53BB">
        <w:t xml:space="preserve">14-year-old Elijah Doughty in </w:t>
      </w:r>
      <w:proofErr w:type="spellStart"/>
      <w:r w:rsidR="004B5566" w:rsidRPr="00EE53BB">
        <w:t>Kalgoorie</w:t>
      </w:r>
      <w:proofErr w:type="spellEnd"/>
      <w:r w:rsidR="004B5566" w:rsidRPr="00EE53BB">
        <w:t xml:space="preserve"> in 2016.</w:t>
      </w:r>
      <w:r w:rsidR="00FC3727" w:rsidRPr="00EE53BB">
        <w:rPr>
          <w:rStyle w:val="EndnoteReference"/>
        </w:rPr>
        <w:endnoteReference w:id="52"/>
      </w:r>
    </w:p>
    <w:p w14:paraId="4E341A4A" w14:textId="7B137CE6" w:rsidR="005A2271" w:rsidRPr="00EE53BB" w:rsidRDefault="005A2271" w:rsidP="005A66A9">
      <w:r w:rsidRPr="00EE53BB">
        <w:t>Research has found that unregulated local community forums can amplify and coordinate racialised content targeting specific children and young people, including surveillance, filming, and providing specific details about potential targets for vigilantism.</w:t>
      </w:r>
      <w:r w:rsidRPr="00EE53BB">
        <w:rPr>
          <w:rStyle w:val="EndnoteReference"/>
        </w:rPr>
        <w:endnoteReference w:id="53"/>
      </w:r>
      <w:r w:rsidR="00991D6C" w:rsidRPr="00EE53BB">
        <w:t xml:space="preserve"> This </w:t>
      </w:r>
      <w:r w:rsidR="00D717C6" w:rsidRPr="00EE53BB">
        <w:t>can also include</w:t>
      </w:r>
      <w:r w:rsidR="00991D6C" w:rsidRPr="00EE53BB">
        <w:t xml:space="preserve"> ‘monitoring’ </w:t>
      </w:r>
      <w:r w:rsidR="00F019BD" w:rsidRPr="00EE53BB">
        <w:t>the</w:t>
      </w:r>
      <w:r w:rsidR="00991D6C" w:rsidRPr="00EE53BB">
        <w:t xml:space="preserve"> social media </w:t>
      </w:r>
      <w:r w:rsidR="00F019BD" w:rsidRPr="00EE53BB">
        <w:t>presence of local children</w:t>
      </w:r>
      <w:r w:rsidR="00991D6C" w:rsidRPr="00EE53BB">
        <w:t>.</w:t>
      </w:r>
      <w:r w:rsidR="00D717C6" w:rsidRPr="00EE53BB">
        <w:rPr>
          <w:rStyle w:val="EndnoteReference"/>
        </w:rPr>
        <w:endnoteReference w:id="54"/>
      </w:r>
      <w:r w:rsidRPr="00EE53BB">
        <w:t xml:space="preserve"> In one example from the ‘Townsville Crime Alerts and Discussions’ Facebook page, a post about an Aboriginal child between the ages of 8 and 10 elicited responses including children’s names, addresses, schools, and the public spaces they frequented. Researchers also highlighted comments encouraging community members to take extreme violent action, including beating, stabbing, shooting, and hitting children with cars.</w:t>
      </w:r>
    </w:p>
    <w:p w14:paraId="38F02797" w14:textId="3D17587B" w:rsidR="005A2271" w:rsidRPr="00EE53BB" w:rsidRDefault="005A2271" w:rsidP="000B0D13">
      <w:r w:rsidRPr="00EE53BB">
        <w:t>In addition to normalising overt racism and violence against First Nations children, online groups such as these are also capable of influencing public policy through petitions, protests,</w:t>
      </w:r>
      <w:r w:rsidR="00672275" w:rsidRPr="00EE53BB">
        <w:t xml:space="preserve"> and engagement with</w:t>
      </w:r>
      <w:r w:rsidR="00AA73AA" w:rsidRPr="00EE53BB">
        <w:t xml:space="preserve"> media and</w:t>
      </w:r>
      <w:r w:rsidR="00672275" w:rsidRPr="00EE53BB">
        <w:t xml:space="preserve"> government</w:t>
      </w:r>
      <w:r w:rsidRPr="00EE53BB">
        <w:t xml:space="preserve">. For example, in 2014, a representative of the </w:t>
      </w:r>
      <w:r w:rsidR="00604E64" w:rsidRPr="00EE53BB">
        <w:t xml:space="preserve">‘Townsville Crime Alerts and Discussions’ </w:t>
      </w:r>
      <w:r w:rsidRPr="00EE53BB">
        <w:t>Facebook page appeared as a witness at a Public Hearing for the Inquiry on strategies to prevent and reduce criminal activity in Queensland,</w:t>
      </w:r>
      <w:r w:rsidR="00CD3A2A" w:rsidRPr="00EE53BB">
        <w:rPr>
          <w:rStyle w:val="EndnoteReference"/>
        </w:rPr>
        <w:endnoteReference w:id="55"/>
      </w:r>
      <w:r w:rsidRPr="00EE53BB">
        <w:t xml:space="preserve"> </w:t>
      </w:r>
      <w:r w:rsidR="0064600F" w:rsidRPr="00EE53BB">
        <w:t>as well as meeting with the Attorney-General and Premier.</w:t>
      </w:r>
      <w:r w:rsidR="0064600F" w:rsidRPr="00EE53BB">
        <w:rPr>
          <w:rStyle w:val="EndnoteReference"/>
        </w:rPr>
        <w:endnoteReference w:id="56"/>
      </w:r>
      <w:r w:rsidR="00076794" w:rsidRPr="00EE53BB">
        <w:t xml:space="preserve"> </w:t>
      </w:r>
      <w:r w:rsidRPr="00EE53BB">
        <w:t xml:space="preserve">The subsequent </w:t>
      </w:r>
      <w:r w:rsidRPr="00EE53BB">
        <w:rPr>
          <w:i/>
          <w:iCs/>
        </w:rPr>
        <w:t xml:space="preserve">Youth Justice and Other Legislation Amendment </w:t>
      </w:r>
      <w:r w:rsidR="00126D05" w:rsidRPr="00EE53BB">
        <w:rPr>
          <w:i/>
          <w:iCs/>
        </w:rPr>
        <w:t>Act</w:t>
      </w:r>
      <w:r w:rsidRPr="00EE53BB">
        <w:rPr>
          <w:i/>
          <w:iCs/>
        </w:rPr>
        <w:t xml:space="preserve"> 2014</w:t>
      </w:r>
      <w:r w:rsidRPr="00EE53BB">
        <w:t xml:space="preserve"> implemented ‘tough-on-crime’ measures, </w:t>
      </w:r>
      <w:r w:rsidR="00CD412C" w:rsidRPr="00EE53BB">
        <w:t>including</w:t>
      </w:r>
      <w:r w:rsidRPr="00EE53BB">
        <w:t xml:space="preserve"> </w:t>
      </w:r>
      <w:r w:rsidR="009033B3" w:rsidRPr="00EE53BB">
        <w:t>making</w:t>
      </w:r>
      <w:r w:rsidRPr="00EE53BB">
        <w:t xml:space="preserve"> children’s identifying information</w:t>
      </w:r>
      <w:r w:rsidR="005F52D7" w:rsidRPr="00EE53BB">
        <w:t xml:space="preserve"> available to the</w:t>
      </w:r>
      <w:r w:rsidR="009033B3" w:rsidRPr="00EE53BB">
        <w:t xml:space="preserve"> public</w:t>
      </w:r>
      <w:r w:rsidRPr="00EE53BB">
        <w:t xml:space="preserve"> to ‘name and shame’ offenders.</w:t>
      </w:r>
      <w:r w:rsidR="00031F4A" w:rsidRPr="00EE53BB">
        <w:t xml:space="preserve"> </w:t>
      </w:r>
      <w:r w:rsidRPr="00EE53BB">
        <w:t>‘</w:t>
      </w:r>
      <w:r w:rsidR="00031F4A" w:rsidRPr="00EE53BB">
        <w:t>C</w:t>
      </w:r>
      <w:r w:rsidRPr="00EE53BB">
        <w:t>ommunity safety’ and ‘community denunciation’ were cited as justification</w:t>
      </w:r>
      <w:r w:rsidR="00031F4A" w:rsidRPr="00EE53BB">
        <w:t>s</w:t>
      </w:r>
      <w:r w:rsidRPr="00EE53BB">
        <w:t xml:space="preserve"> for infringing on the principles of international law.</w:t>
      </w:r>
      <w:r w:rsidRPr="00EE53BB">
        <w:rPr>
          <w:rStyle w:val="EndnoteReference"/>
        </w:rPr>
        <w:endnoteReference w:id="57"/>
      </w:r>
      <w:r w:rsidRPr="00EE53BB">
        <w:t xml:space="preserve"> </w:t>
      </w:r>
      <w:r w:rsidR="002C65E5" w:rsidRPr="00EE53BB">
        <w:t>Parliamentary s</w:t>
      </w:r>
      <w:r w:rsidRPr="00EE53BB">
        <w:t xml:space="preserve">peeches in support of </w:t>
      </w:r>
      <w:r w:rsidR="00775B3F" w:rsidRPr="00EE53BB">
        <w:t xml:space="preserve">these changes </w:t>
      </w:r>
      <w:r w:rsidRPr="00EE53BB">
        <w:t xml:space="preserve">referenced ‘community expectations’, newspaper coverage, </w:t>
      </w:r>
      <w:r w:rsidR="00AC2A1A" w:rsidRPr="00EE53BB">
        <w:t>social media</w:t>
      </w:r>
      <w:r w:rsidRPr="00EE53BB">
        <w:t xml:space="preserve"> – including the ‘Townsville Crime Alerts and Discussions’ page, and the need to ‘send a message to the community’.</w:t>
      </w:r>
      <w:r w:rsidRPr="00EE53BB">
        <w:rPr>
          <w:rStyle w:val="EndnoteReference"/>
        </w:rPr>
        <w:endnoteReference w:id="58"/>
      </w:r>
    </w:p>
    <w:p w14:paraId="73C19713" w14:textId="3DF6BFDC" w:rsidR="005A2271" w:rsidRPr="00EE53BB" w:rsidRDefault="005A2271" w:rsidP="000B0D13">
      <w:r w:rsidRPr="00EE53BB">
        <w:t>In 2018, ‘community concern’ amplified on social media and in the media prompted the Queensland Premier to announce the appointment of an independent Townsville Community Champion to gather and report on community-driven solutions for youth crime.</w:t>
      </w:r>
      <w:r w:rsidRPr="00EE53BB">
        <w:rPr>
          <w:rStyle w:val="EndnoteReference"/>
        </w:rPr>
        <w:endnoteReference w:id="59"/>
      </w:r>
      <w:r w:rsidRPr="00EE53BB">
        <w:t xml:space="preserve"> The subsequent report –</w:t>
      </w:r>
      <w:r w:rsidR="007A4253" w:rsidRPr="00EE53BB">
        <w:t xml:space="preserve"> </w:t>
      </w:r>
      <w:r w:rsidRPr="00EE53BB">
        <w:t xml:space="preserve">focused on ‘place-based solutions’ – made direct reference to ‘community concerns’ voiced on social media, and specifically to the ‘Townsville Crime Alerts and Discussions’ Facebook page. </w:t>
      </w:r>
      <w:r w:rsidR="002C69FF" w:rsidRPr="00EE53BB">
        <w:t>In subsequent years, Queensland introduced ‘post and boast’ laws</w:t>
      </w:r>
      <w:r w:rsidR="00D158AD" w:rsidRPr="00EE53BB">
        <w:t xml:space="preserve">, </w:t>
      </w:r>
      <w:r w:rsidR="00D158AD" w:rsidRPr="00EE53BB">
        <w:lastRenderedPageBreak/>
        <w:t>which</w:t>
      </w:r>
      <w:r w:rsidR="00E42C69" w:rsidRPr="00EE53BB">
        <w:t xml:space="preserve"> </w:t>
      </w:r>
      <w:r w:rsidR="00EF592F" w:rsidRPr="00EE53BB">
        <w:t xml:space="preserve">made it a crime for </w:t>
      </w:r>
      <w:r w:rsidR="00BE33A1" w:rsidRPr="00EE53BB">
        <w:t xml:space="preserve">offenders to publish material related to an </w:t>
      </w:r>
      <w:r w:rsidR="00012E39">
        <w:t>offence</w:t>
      </w:r>
      <w:r w:rsidR="00A61E7E" w:rsidRPr="00EE53BB">
        <w:t xml:space="preserve"> online</w:t>
      </w:r>
      <w:r w:rsidR="009F56AD" w:rsidRPr="00EE53BB">
        <w:t xml:space="preserve">, but did not address </w:t>
      </w:r>
      <w:r w:rsidR="00026667" w:rsidRPr="00EE53BB">
        <w:t xml:space="preserve">material published </w:t>
      </w:r>
      <w:r w:rsidR="009F56AD" w:rsidRPr="00EE53BB">
        <w:t xml:space="preserve">by other members of the public, such as those </w:t>
      </w:r>
      <w:r w:rsidR="006C30EB" w:rsidRPr="00EE53BB">
        <w:t>featured prominently in local community social media groups</w:t>
      </w:r>
      <w:r w:rsidR="00C67A8E" w:rsidRPr="00EE53BB">
        <w:t>.</w:t>
      </w:r>
      <w:r w:rsidR="00B91F25" w:rsidRPr="00EE53BB">
        <w:rPr>
          <w:rStyle w:val="EndnoteReference"/>
        </w:rPr>
        <w:endnoteReference w:id="60"/>
      </w:r>
      <w:r w:rsidR="004612B1" w:rsidRPr="00EE53BB">
        <w:t xml:space="preserve"> </w:t>
      </w:r>
      <w:r w:rsidR="00416959" w:rsidRPr="00EE53BB">
        <w:t>These decisions consistently frame children and young people as risks</w:t>
      </w:r>
      <w:r w:rsidR="00E51AF0" w:rsidRPr="00EE53BB">
        <w:t>,</w:t>
      </w:r>
      <w:r w:rsidR="00065129" w:rsidRPr="00EE53BB">
        <w:t xml:space="preserve"> rather than rights holders</w:t>
      </w:r>
      <w:r w:rsidR="00576C1D" w:rsidRPr="00EE53BB">
        <w:t xml:space="preserve">, while </w:t>
      </w:r>
      <w:r w:rsidR="00401A29" w:rsidRPr="00EE53BB">
        <w:t xml:space="preserve">simultaneously </w:t>
      </w:r>
      <w:r w:rsidR="00E51AF0" w:rsidRPr="00EE53BB">
        <w:t>downplaying risks to their safety and wellbeing as ‘community concern’.</w:t>
      </w:r>
    </w:p>
    <w:p w14:paraId="143DC6A2" w14:textId="638D8429" w:rsidR="004079B3" w:rsidRPr="00EE53BB" w:rsidRDefault="00B17E1C" w:rsidP="005A66A9">
      <w:r w:rsidRPr="00EE53BB">
        <w:t>Similar local community groups</w:t>
      </w:r>
      <w:r w:rsidR="00386241" w:rsidRPr="00EE53BB">
        <w:t xml:space="preserve"> and pages</w:t>
      </w:r>
      <w:r w:rsidRPr="00EE53BB">
        <w:t xml:space="preserve"> operate online across Australian states and territories</w:t>
      </w:r>
      <w:r w:rsidR="00C43EED" w:rsidRPr="00EE53BB">
        <w:t xml:space="preserve">, such as </w:t>
      </w:r>
      <w:r w:rsidR="00F228A3" w:rsidRPr="00EE53BB">
        <w:t xml:space="preserve">the </w:t>
      </w:r>
      <w:r w:rsidR="00C43EED" w:rsidRPr="00EE53BB">
        <w:t>‘Action for Alice’</w:t>
      </w:r>
      <w:r w:rsidR="00F228A3" w:rsidRPr="00EE53BB">
        <w:t xml:space="preserve"> Facebook page</w:t>
      </w:r>
      <w:r w:rsidR="00C43EED" w:rsidRPr="00EE53BB">
        <w:t>,</w:t>
      </w:r>
      <w:r w:rsidR="007A560D" w:rsidRPr="00EE53BB">
        <w:t xml:space="preserve"> which </w:t>
      </w:r>
      <w:r w:rsidR="00CC356E" w:rsidRPr="00EE53BB">
        <w:t xml:space="preserve">has been described as ‘rife’ with </w:t>
      </w:r>
      <w:r w:rsidR="007A560D" w:rsidRPr="00EE53BB">
        <w:t>‘</w:t>
      </w:r>
      <w:r w:rsidR="00CC356E" w:rsidRPr="00EE53BB">
        <w:t>r</w:t>
      </w:r>
      <w:r w:rsidR="007A560D" w:rsidRPr="00EE53BB">
        <w:t>acism and explicit calls to violence’.</w:t>
      </w:r>
      <w:r w:rsidR="003C1AEA" w:rsidRPr="00EE53BB">
        <w:rPr>
          <w:rStyle w:val="EndnoteReference"/>
        </w:rPr>
        <w:endnoteReference w:id="61"/>
      </w:r>
      <w:r w:rsidR="009E2810" w:rsidRPr="00EE53BB">
        <w:t xml:space="preserve"> </w:t>
      </w:r>
      <w:r w:rsidR="00CC356E" w:rsidRPr="00EE53BB">
        <w:t xml:space="preserve">The </w:t>
      </w:r>
      <w:r w:rsidR="007A285B" w:rsidRPr="00EE53BB">
        <w:t>page</w:t>
      </w:r>
      <w:r w:rsidR="00CC356E" w:rsidRPr="00EE53BB">
        <w:t>’s</w:t>
      </w:r>
      <w:r w:rsidR="00962BF7" w:rsidRPr="00EE53BB">
        <w:t xml:space="preserve"> founder</w:t>
      </w:r>
      <w:r w:rsidR="00674690" w:rsidRPr="00EE53BB">
        <w:t xml:space="preserve"> </w:t>
      </w:r>
      <w:r w:rsidR="0009599E" w:rsidRPr="00EE53BB">
        <w:t xml:space="preserve">has </w:t>
      </w:r>
      <w:r w:rsidR="003B3E0B" w:rsidRPr="00EE53BB">
        <w:t xml:space="preserve">met with </w:t>
      </w:r>
      <w:r w:rsidR="00A449B0" w:rsidRPr="00EE53BB">
        <w:t xml:space="preserve">politicians, police, </w:t>
      </w:r>
      <w:r w:rsidR="007A3594" w:rsidRPr="00EE53BB">
        <w:t>journalists, TV and radio hosts</w:t>
      </w:r>
      <w:r w:rsidR="008223F6" w:rsidRPr="00EE53BB">
        <w:t xml:space="preserve"> to </w:t>
      </w:r>
      <w:r w:rsidR="00420C0B" w:rsidRPr="00EE53BB">
        <w:t>amplify th</w:t>
      </w:r>
      <w:r w:rsidR="00E92EBC" w:rsidRPr="00EE53BB">
        <w:t>e page’s</w:t>
      </w:r>
      <w:r w:rsidR="00420C0B" w:rsidRPr="00EE53BB">
        <w:t xml:space="preserve"> message.</w:t>
      </w:r>
      <w:r w:rsidR="00C43EED" w:rsidRPr="00EE53BB">
        <w:rPr>
          <w:rStyle w:val="EndnoteReference"/>
        </w:rPr>
        <w:endnoteReference w:id="62"/>
      </w:r>
    </w:p>
    <w:p w14:paraId="2B6D1384" w14:textId="4E0B20B1" w:rsidR="00AA2789" w:rsidRPr="00EE53BB" w:rsidRDefault="005A2271" w:rsidP="006C6F11">
      <w:r w:rsidRPr="00EE53BB">
        <w:t xml:space="preserve">The attitudes </w:t>
      </w:r>
      <w:r w:rsidR="009F1E9D" w:rsidRPr="00EE53BB">
        <w:t xml:space="preserve">espoused online </w:t>
      </w:r>
      <w:r w:rsidRPr="00EE53BB">
        <w:t>are parallelled in tabloid media campaigns that provoke and intensify moral panic and create sustained political pressure through the notion of ‘community expectations’.</w:t>
      </w:r>
      <w:r w:rsidR="005264E5" w:rsidRPr="00EE53BB">
        <w:t xml:space="preserve"> </w:t>
      </w:r>
      <w:r w:rsidR="00420C0B" w:rsidRPr="00EE53BB">
        <w:t>I</w:t>
      </w:r>
      <w:r w:rsidRPr="00EE53BB">
        <w:t xml:space="preserve">n April 2025, the </w:t>
      </w:r>
      <w:r w:rsidRPr="00EE53BB">
        <w:rPr>
          <w:i/>
          <w:iCs/>
        </w:rPr>
        <w:t>Townsville Bulletin</w:t>
      </w:r>
      <w:r w:rsidRPr="00EE53BB">
        <w:t xml:space="preserve"> credited the ‘Fight for the Forgotten’ newspaper campaign for expansions to Queensland’s ‘adult time’ legislation,</w:t>
      </w:r>
      <w:r w:rsidRPr="00EE53BB">
        <w:rPr>
          <w:rStyle w:val="EndnoteReference"/>
        </w:rPr>
        <w:endnoteReference w:id="63"/>
      </w:r>
      <w:r w:rsidRPr="00EE53BB">
        <w:t xml:space="preserve"> while the </w:t>
      </w:r>
      <w:r w:rsidRPr="00EE53BB">
        <w:rPr>
          <w:i/>
          <w:iCs/>
        </w:rPr>
        <w:t>Herald Sun’s</w:t>
      </w:r>
      <w:r w:rsidRPr="00EE53BB">
        <w:t xml:space="preserve"> ‘Suburbs under Siege’ campaign pushed for regressive legislation in Victoria.</w:t>
      </w:r>
      <w:r w:rsidRPr="00EE53BB">
        <w:rPr>
          <w:rStyle w:val="EndnoteReference"/>
        </w:rPr>
        <w:endnoteReference w:id="64"/>
      </w:r>
      <w:r w:rsidRPr="00EE53BB">
        <w:t xml:space="preserve"> </w:t>
      </w:r>
      <w:r w:rsidR="000B1C35" w:rsidRPr="00EE53BB">
        <w:t>A</w:t>
      </w:r>
      <w:r w:rsidR="00F901E4" w:rsidRPr="00EE53BB">
        <w:t xml:space="preserve"> 2026</w:t>
      </w:r>
      <w:r w:rsidR="000B1C35" w:rsidRPr="00EE53BB">
        <w:t xml:space="preserve"> report by the Australian Institute of Criminology found that there has been a shift towards more punitive bail laws in Australia, which are often amended following highly publicised offences.</w:t>
      </w:r>
      <w:r w:rsidR="000B1C35" w:rsidRPr="00EE53BB">
        <w:rPr>
          <w:rStyle w:val="EndnoteReference"/>
        </w:rPr>
        <w:endnoteReference w:id="65"/>
      </w:r>
    </w:p>
    <w:p w14:paraId="70A2615D" w14:textId="013BAC7C" w:rsidR="003F2CDD" w:rsidRPr="00EE53BB" w:rsidRDefault="003F2CDD" w:rsidP="00CB126B">
      <w:r w:rsidRPr="00EE53BB">
        <w:t>The Victorian Aboriginal Legal Service, the Law Institute of Victoria, and Aboriginal Community Controlled Organisations warned that the changes would disproportionately affect Aboriginal children and young people. The pattern is an example of where manufactured community expectations override evidence-based reform and human rights analysis.</w:t>
      </w:r>
    </w:p>
    <w:p w14:paraId="2636E523" w14:textId="7155B74A" w:rsidR="00CB126B" w:rsidRPr="00EE53BB" w:rsidRDefault="00CB126B" w:rsidP="00CB126B">
      <w:r w:rsidRPr="00EE53BB">
        <w:t>In Western Australia, the conditions in Unit 18 at Casuarina Prison and Banksia Hill Detention Centre have been the subject of sustained criticism from the Inspector of Custodial Services, the Commissioner for Children and Young People, and successive coronial inquiries</w:t>
      </w:r>
      <w:r w:rsidR="00E377E0">
        <w:t>.</w:t>
      </w:r>
      <w:r w:rsidR="001E3F22" w:rsidRPr="00EE53BB">
        <w:rPr>
          <w:rStyle w:val="EndnoteReference"/>
        </w:rPr>
        <w:endnoteReference w:id="66"/>
      </w:r>
      <w:r w:rsidRPr="00EE53BB">
        <w:t xml:space="preserve"> The 2025 coronial findings into Cleveland Dodd’s death highlighted the gap between the evidence before government and the political narratives that shaped the operation of these facilities.</w:t>
      </w:r>
      <w:r w:rsidR="00490BEC" w:rsidRPr="00EE53BB">
        <w:rPr>
          <w:rStyle w:val="EndnoteReference"/>
        </w:rPr>
        <w:endnoteReference w:id="67"/>
      </w:r>
    </w:p>
    <w:p w14:paraId="7381CC54" w14:textId="2B438170" w:rsidR="009108E1" w:rsidRPr="00EE53BB" w:rsidRDefault="005A2271" w:rsidP="006C6F11">
      <w:r w:rsidRPr="00EE53BB">
        <w:t xml:space="preserve">When governments respond to these manufactured expectations rather than evidence, the reforms that follow are grounded in racism more often than rights. This was clearly outlined in the Human Rights Statement of Compatibility </w:t>
      </w:r>
      <w:r w:rsidR="00FA240B" w:rsidRPr="00EE53BB">
        <w:t>prepared by the Queensland Government</w:t>
      </w:r>
      <w:r w:rsidRPr="00EE53BB">
        <w:t xml:space="preserve"> for the </w:t>
      </w:r>
      <w:r w:rsidRPr="00EE53BB">
        <w:rPr>
          <w:i/>
          <w:iCs/>
        </w:rPr>
        <w:t>Making Queensland Safer Act 2024</w:t>
      </w:r>
      <w:r w:rsidRPr="00EE53BB">
        <w:t xml:space="preserve">, which acknowledged that the changes </w:t>
      </w:r>
      <w:r w:rsidR="00213352" w:rsidRPr="00EE53BB">
        <w:t>would disproportionately affect First Nations children</w:t>
      </w:r>
      <w:r w:rsidR="00213352">
        <w:t>,</w:t>
      </w:r>
      <w:r w:rsidR="00213352" w:rsidRPr="00EE53BB">
        <w:t xml:space="preserve"> </w:t>
      </w:r>
      <w:r w:rsidRPr="00EE53BB">
        <w:t xml:space="preserve">were ‘more punitive than necessary’, </w:t>
      </w:r>
      <w:r w:rsidR="00213352">
        <w:t xml:space="preserve">and </w:t>
      </w:r>
      <w:r w:rsidRPr="00EE53BB">
        <w:t>were not compatible with human rights</w:t>
      </w:r>
      <w:r w:rsidR="00174A59">
        <w:t xml:space="preserve"> </w:t>
      </w:r>
      <w:r w:rsidRPr="00EE53BB">
        <w:t>– before ultimately concluding that they were justified by ‘community outrage’.</w:t>
      </w:r>
      <w:r w:rsidRPr="00EE53BB">
        <w:rPr>
          <w:rStyle w:val="EndnoteReference"/>
        </w:rPr>
        <w:endnoteReference w:id="68"/>
      </w:r>
      <w:r w:rsidRPr="00EE53BB">
        <w:t xml:space="preserve"> </w:t>
      </w:r>
      <w:r w:rsidR="00556226" w:rsidRPr="00EE53BB">
        <w:t xml:space="preserve">Government ministers </w:t>
      </w:r>
      <w:r w:rsidR="003F3CA1" w:rsidRPr="00EE53BB">
        <w:t xml:space="preserve">in </w:t>
      </w:r>
      <w:r w:rsidR="005A65D9" w:rsidRPr="00EE53BB">
        <w:t xml:space="preserve">Queensland, Victoria, </w:t>
      </w:r>
      <w:r w:rsidR="00F84BA6" w:rsidRPr="00EE53BB">
        <w:t xml:space="preserve">Tasmania, </w:t>
      </w:r>
      <w:r w:rsidR="005A65D9" w:rsidRPr="00EE53BB">
        <w:t xml:space="preserve">and the Northern Territory </w:t>
      </w:r>
      <w:r w:rsidR="00DF0EF0" w:rsidRPr="00EE53BB">
        <w:t xml:space="preserve">have similarly cited </w:t>
      </w:r>
      <w:r w:rsidR="00CA4AC8" w:rsidRPr="00EE53BB">
        <w:t xml:space="preserve">community expectations </w:t>
      </w:r>
      <w:r w:rsidR="00DF591C" w:rsidRPr="00EE53BB">
        <w:t>to dismiss human rights concern</w:t>
      </w:r>
      <w:r w:rsidR="00F83A3B" w:rsidRPr="00EE53BB">
        <w:t>s.</w:t>
      </w:r>
      <w:r w:rsidR="00F83A3B" w:rsidRPr="00EE53BB">
        <w:rPr>
          <w:rStyle w:val="EndnoteReference"/>
        </w:rPr>
        <w:endnoteReference w:id="69"/>
      </w:r>
      <w:r w:rsidR="00C91CAC" w:rsidRPr="00EE53BB">
        <w:t xml:space="preserve"> </w:t>
      </w:r>
      <w:r w:rsidR="00FA240B" w:rsidRPr="00EE53BB">
        <w:t xml:space="preserve">This </w:t>
      </w:r>
      <w:r w:rsidR="00D57D4E" w:rsidRPr="00EE53BB">
        <w:t>risks</w:t>
      </w:r>
      <w:r w:rsidR="00815FB8" w:rsidRPr="00EE53BB">
        <w:t xml:space="preserve"> the rights of</w:t>
      </w:r>
      <w:r w:rsidR="007F67A1" w:rsidRPr="00EE53BB">
        <w:t xml:space="preserve"> First Nations</w:t>
      </w:r>
      <w:r w:rsidR="00815FB8" w:rsidRPr="00EE53BB">
        <w:t xml:space="preserve"> children and young people </w:t>
      </w:r>
      <w:r w:rsidR="00D57D4E" w:rsidRPr="00EE53BB">
        <w:t xml:space="preserve">being </w:t>
      </w:r>
      <w:r w:rsidR="00E61962" w:rsidRPr="00EE53BB">
        <w:t xml:space="preserve">protected </w:t>
      </w:r>
      <w:r w:rsidR="009A74A4" w:rsidRPr="00EE53BB">
        <w:t xml:space="preserve">only </w:t>
      </w:r>
      <w:r w:rsidR="006A4D2C" w:rsidRPr="00EE53BB">
        <w:t xml:space="preserve">at the discretion of the </w:t>
      </w:r>
      <w:r w:rsidR="001D2E16" w:rsidRPr="00EE53BB">
        <w:t>general public</w:t>
      </w:r>
      <w:r w:rsidR="00E61962" w:rsidRPr="00EE53BB">
        <w:t>, which</w:t>
      </w:r>
      <w:r w:rsidR="00815FB8" w:rsidRPr="00EE53BB">
        <w:t xml:space="preserve"> </w:t>
      </w:r>
      <w:r w:rsidR="00E50004" w:rsidRPr="00EE53BB">
        <w:t xml:space="preserve">is </w:t>
      </w:r>
      <w:r w:rsidR="001D2E16" w:rsidRPr="00EE53BB">
        <w:t>harmful, dangerous, and in</w:t>
      </w:r>
      <w:r w:rsidR="00E50004" w:rsidRPr="00EE53BB">
        <w:t>compatible with Australia’s international obligations</w:t>
      </w:r>
      <w:r w:rsidR="004B622D" w:rsidRPr="00EE53BB">
        <w:t>.</w:t>
      </w:r>
    </w:p>
    <w:p w14:paraId="0DA93573" w14:textId="3E9D5ED4" w:rsidR="008112C4" w:rsidRPr="00EE53BB" w:rsidRDefault="00E61962" w:rsidP="008112C4">
      <w:r w:rsidRPr="00EE53BB">
        <w:t>N</w:t>
      </w:r>
      <w:r w:rsidR="005A2271" w:rsidRPr="00EE53BB">
        <w:t>otions of ‘community expectations’ – as shaped by the media and political leaders – have been documented as influencing police use of discretionary powers relating to arrest, prosecution, and bail.</w:t>
      </w:r>
      <w:r w:rsidR="005A2271" w:rsidRPr="00EE53BB">
        <w:rPr>
          <w:rStyle w:val="EndnoteReference"/>
        </w:rPr>
        <w:endnoteReference w:id="70"/>
      </w:r>
      <w:r w:rsidR="00713A39" w:rsidRPr="00EE53BB">
        <w:t xml:space="preserve"> </w:t>
      </w:r>
      <w:r w:rsidR="00047555" w:rsidRPr="00EE53BB">
        <w:t>T</w:t>
      </w:r>
      <w:r w:rsidR="00CF53A0" w:rsidRPr="00EE53BB">
        <w:t xml:space="preserve">he </w:t>
      </w:r>
      <w:r w:rsidR="00CF53A0" w:rsidRPr="00EE53BB">
        <w:rPr>
          <w:i/>
          <w:iCs/>
        </w:rPr>
        <w:t>Royal Commission</w:t>
      </w:r>
      <w:r w:rsidR="00047555" w:rsidRPr="00EE53BB">
        <w:rPr>
          <w:i/>
          <w:iCs/>
        </w:rPr>
        <w:t xml:space="preserve"> </w:t>
      </w:r>
      <w:r w:rsidR="008112C4" w:rsidRPr="00EE53BB">
        <w:rPr>
          <w:i/>
          <w:iCs/>
        </w:rPr>
        <w:t>into the Protection and Detention of Children in the Northern Territory</w:t>
      </w:r>
      <w:r w:rsidR="008112C4" w:rsidRPr="00EE53BB">
        <w:t xml:space="preserve"> </w:t>
      </w:r>
      <w:r w:rsidR="00047555" w:rsidRPr="00EE53BB">
        <w:t>heard</w:t>
      </w:r>
      <w:r w:rsidR="00CF53A0" w:rsidRPr="00EE53BB">
        <w:t xml:space="preserve"> </w:t>
      </w:r>
      <w:r w:rsidR="006C70FB" w:rsidRPr="00EE53BB">
        <w:t xml:space="preserve">testimony </w:t>
      </w:r>
      <w:r w:rsidR="00406BB1" w:rsidRPr="00EE53BB">
        <w:t xml:space="preserve">that </w:t>
      </w:r>
      <w:r w:rsidR="008017B1" w:rsidRPr="00EE53BB">
        <w:t xml:space="preserve">the Government’s ‘tough-on-crime’ approach and </w:t>
      </w:r>
      <w:r w:rsidR="00EA54CF" w:rsidRPr="00EE53BB">
        <w:t xml:space="preserve">its </w:t>
      </w:r>
      <w:r w:rsidR="008017B1" w:rsidRPr="00EE53BB">
        <w:t xml:space="preserve">corresponding promotion in the media </w:t>
      </w:r>
      <w:r w:rsidR="007810DA" w:rsidRPr="00EE53BB">
        <w:t>created community expectations that affected the thinking</w:t>
      </w:r>
      <w:r w:rsidR="00F36D29" w:rsidRPr="00EE53BB">
        <w:t xml:space="preserve">, attitudes, and </w:t>
      </w:r>
      <w:r w:rsidR="00556699" w:rsidRPr="00EE53BB">
        <w:t>conduct</w:t>
      </w:r>
      <w:r w:rsidR="007810DA" w:rsidRPr="00EE53BB">
        <w:t xml:space="preserve"> of police</w:t>
      </w:r>
      <w:r w:rsidR="001A2BDD" w:rsidRPr="00EE53BB">
        <w:t xml:space="preserve">, and that it was a </w:t>
      </w:r>
      <w:r w:rsidR="00C125B2" w:rsidRPr="00EE53BB">
        <w:t>‘</w:t>
      </w:r>
      <w:r w:rsidR="001A2BDD" w:rsidRPr="00EE53BB">
        <w:t>constant challenge</w:t>
      </w:r>
      <w:r w:rsidR="00C125B2" w:rsidRPr="00EE53BB">
        <w:t>’</w:t>
      </w:r>
      <w:r w:rsidR="001A2BDD" w:rsidRPr="00EE53BB">
        <w:t xml:space="preserve"> to reinforce an appropriate culture in the </w:t>
      </w:r>
      <w:r w:rsidR="00382CFA" w:rsidRPr="00EE53BB">
        <w:t>organisation</w:t>
      </w:r>
      <w:r w:rsidR="001A2BDD" w:rsidRPr="00EE53BB">
        <w:t xml:space="preserve"> with respect to young people.</w:t>
      </w:r>
      <w:r w:rsidR="00C829B8" w:rsidRPr="00EE53BB">
        <w:t xml:space="preserve"> This extended to </w:t>
      </w:r>
      <w:r w:rsidR="00CA7238" w:rsidRPr="00EE53BB">
        <w:t xml:space="preserve">assessing how things </w:t>
      </w:r>
      <w:r w:rsidR="005D5AD3" w:rsidRPr="00EE53BB">
        <w:t>we</w:t>
      </w:r>
      <w:r w:rsidR="00CA7238" w:rsidRPr="00EE53BB">
        <w:t xml:space="preserve">re </w:t>
      </w:r>
      <w:r w:rsidR="005D5AD3" w:rsidRPr="00EE53BB">
        <w:t>‘</w:t>
      </w:r>
      <w:r w:rsidR="00CA7238" w:rsidRPr="00EE53BB">
        <w:t xml:space="preserve">played out’ in the media </w:t>
      </w:r>
      <w:r w:rsidR="005D5AD3" w:rsidRPr="00EE53BB">
        <w:t>and whether</w:t>
      </w:r>
      <w:r w:rsidR="006715C5" w:rsidRPr="00EE53BB">
        <w:t xml:space="preserve"> police</w:t>
      </w:r>
      <w:r w:rsidR="005D5AD3" w:rsidRPr="00EE53BB">
        <w:t xml:space="preserve"> decisions </w:t>
      </w:r>
      <w:r w:rsidR="000D008B" w:rsidRPr="00EE53BB">
        <w:t xml:space="preserve">regarding discretion or prosecution </w:t>
      </w:r>
      <w:r w:rsidR="005D5AD3" w:rsidRPr="00EE53BB">
        <w:t xml:space="preserve">would </w:t>
      </w:r>
      <w:r w:rsidR="00341B87" w:rsidRPr="00EE53BB">
        <w:t>provoke an adverse</w:t>
      </w:r>
      <w:r w:rsidR="006715C5" w:rsidRPr="00EE53BB">
        <w:t xml:space="preserve"> public</w:t>
      </w:r>
      <w:r w:rsidR="00341B87" w:rsidRPr="00EE53BB">
        <w:t xml:space="preserve"> response</w:t>
      </w:r>
      <w:r w:rsidR="001C14DD" w:rsidRPr="00EE53BB">
        <w:t xml:space="preserve">. </w:t>
      </w:r>
      <w:r w:rsidR="008112C4" w:rsidRPr="00EE53BB">
        <w:t>In Queensland, Attorney-General Deb Frecklington implied a similar intended influence on the courts</w:t>
      </w:r>
      <w:r w:rsidR="00EA7A54" w:rsidRPr="00EE53BB">
        <w:t xml:space="preserve"> through</w:t>
      </w:r>
      <w:r w:rsidR="00912728" w:rsidRPr="00EE53BB">
        <w:t xml:space="preserve"> the introduction of</w:t>
      </w:r>
      <w:r w:rsidR="00EA7A54" w:rsidRPr="00EE53BB">
        <w:t xml:space="preserve"> </w:t>
      </w:r>
      <w:r w:rsidR="008F7A26" w:rsidRPr="00EE53BB">
        <w:t>‘adult crime, adult time’ laws</w:t>
      </w:r>
      <w:r w:rsidR="008112C4" w:rsidRPr="00EE53BB">
        <w:t>, saying ‘we are giving the courts the tools to do what Queenslanders expect them to do’.</w:t>
      </w:r>
      <w:r w:rsidR="008112C4" w:rsidRPr="00EE53BB">
        <w:rPr>
          <w:rStyle w:val="EndnoteReference"/>
        </w:rPr>
        <w:endnoteReference w:id="71"/>
      </w:r>
    </w:p>
    <w:p w14:paraId="6FD77498" w14:textId="364BB1C0" w:rsidR="00D17548" w:rsidRPr="00EE53BB" w:rsidRDefault="004C286D" w:rsidP="00E26D3C">
      <w:r w:rsidRPr="00EE53BB">
        <w:t>The</w:t>
      </w:r>
      <w:r w:rsidR="008112C4" w:rsidRPr="00EE53BB">
        <w:t xml:space="preserve"> Northern Territory</w:t>
      </w:r>
      <w:r w:rsidRPr="00EE53BB">
        <w:t xml:space="preserve"> Royal Commission</w:t>
      </w:r>
      <w:r w:rsidR="00E26D3C" w:rsidRPr="00EE53BB">
        <w:t xml:space="preserve"> also </w:t>
      </w:r>
      <w:r w:rsidR="0028458F" w:rsidRPr="00EE53BB">
        <w:t xml:space="preserve">pointed to the role of </w:t>
      </w:r>
      <w:r w:rsidR="00E26D3C" w:rsidRPr="00EE53BB">
        <w:t xml:space="preserve">political leadership in the harm that occurred in detention centres. It found that </w:t>
      </w:r>
      <w:r w:rsidR="00022272" w:rsidRPr="00EE53BB">
        <w:t xml:space="preserve">children and young people were </w:t>
      </w:r>
      <w:r w:rsidR="00C473EC" w:rsidRPr="00EE53BB">
        <w:t>‘</w:t>
      </w:r>
      <w:r w:rsidR="00022272" w:rsidRPr="00EE53BB">
        <w:t>held in conditions some of which were unspeakably bad and treated in a way that meant rehabilitation was impossible</w:t>
      </w:r>
      <w:r w:rsidR="00C473EC" w:rsidRPr="00EE53BB">
        <w:t>’</w:t>
      </w:r>
      <w:r w:rsidR="009D05FB" w:rsidRPr="00EE53BB">
        <w:rPr>
          <w:rStyle w:val="EndnoteReference"/>
        </w:rPr>
        <w:endnoteReference w:id="72"/>
      </w:r>
      <w:r w:rsidR="008F092A" w:rsidRPr="00EE53BB">
        <w:t xml:space="preserve"> and that </w:t>
      </w:r>
      <w:r w:rsidR="001A3728" w:rsidRPr="00EE53BB">
        <w:t>the Government’s</w:t>
      </w:r>
      <w:r w:rsidR="00E26D3C" w:rsidRPr="00EE53BB">
        <w:t xml:space="preserve"> focus on punishment and unwillingness to invest in youth detention led to ‘ill-considered’ decisions regarding infrastructure, obstructed recruitment and training, contributed to a punitive approach to the treatment of incarcerated children, and impacted on the proper administration and operation of the system as a whole.</w:t>
      </w:r>
      <w:r w:rsidR="00E26D3C" w:rsidRPr="00EE53BB">
        <w:rPr>
          <w:rStyle w:val="EndnoteReference"/>
        </w:rPr>
        <w:endnoteReference w:id="73"/>
      </w:r>
      <w:r w:rsidR="00E26D3C" w:rsidRPr="00EE53BB">
        <w:t xml:space="preserve"> The Final Report noted that the ‘dire state of affairs’ was reported to senior management and successfully filtered to the responsible Ministers, who did not act, concluding that </w:t>
      </w:r>
      <w:r w:rsidR="00BE2C2B" w:rsidRPr="00EE53BB">
        <w:t xml:space="preserve">making </w:t>
      </w:r>
      <w:r w:rsidR="00E26D3C" w:rsidRPr="00EE53BB">
        <w:t xml:space="preserve">changes to prevent </w:t>
      </w:r>
      <w:r w:rsidR="00E26D3C" w:rsidRPr="00EE53BB">
        <w:lastRenderedPageBreak/>
        <w:t>harmful incidents</w:t>
      </w:r>
      <w:r w:rsidR="0090722E" w:rsidRPr="00EE53BB">
        <w:t xml:space="preserve"> inside detention centres</w:t>
      </w:r>
      <w:r w:rsidR="00E26D3C" w:rsidRPr="00EE53BB">
        <w:t xml:space="preserve"> ‘would not have supported the punitive, tough on crime agenda which appeared to infiltrate Government decision making’.</w:t>
      </w:r>
    </w:p>
    <w:p w14:paraId="523D476A" w14:textId="7A6F4127" w:rsidR="005A2271" w:rsidRPr="00EE53BB" w:rsidRDefault="005A2271" w:rsidP="000F5AA2">
      <w:r w:rsidRPr="00EE53BB">
        <w:t>In</w:t>
      </w:r>
      <w:r w:rsidR="00BA691A" w:rsidRPr="00EE53BB">
        <w:t xml:space="preserve"> ‘tough-on-crime’</w:t>
      </w:r>
      <w:r w:rsidRPr="00EE53BB">
        <w:t xml:space="preserve"> </w:t>
      </w:r>
      <w:r w:rsidR="00A14C90" w:rsidRPr="00EE53BB">
        <w:t xml:space="preserve">political </w:t>
      </w:r>
      <w:r w:rsidRPr="00EE53BB">
        <w:t>context</w:t>
      </w:r>
      <w:r w:rsidR="00A14C90" w:rsidRPr="00EE53BB">
        <w:t>s</w:t>
      </w:r>
      <w:r w:rsidRPr="00EE53BB">
        <w:t xml:space="preserve">, institutional violence goes largely unacknowledged, as dehumanising perceptions of children as </w:t>
      </w:r>
      <w:r w:rsidR="00B91034" w:rsidRPr="00EE53BB">
        <w:t>‘</w:t>
      </w:r>
      <w:r w:rsidRPr="00EE53BB">
        <w:t>criminals</w:t>
      </w:r>
      <w:r w:rsidR="00B91034" w:rsidRPr="00EE53BB">
        <w:t>’</w:t>
      </w:r>
      <w:r w:rsidRPr="00EE53BB">
        <w:t xml:space="preserve"> prove incompatible with their recognition as victims. For example, after the Northern Territory Government paid $35 million to settle </w:t>
      </w:r>
      <w:r w:rsidR="00A14C90" w:rsidRPr="00EE53BB">
        <w:t>the post-Royal Commission</w:t>
      </w:r>
      <w:r w:rsidRPr="00EE53BB">
        <w:t xml:space="preserve"> class-action </w:t>
      </w:r>
      <w:r w:rsidR="00BE2F53" w:rsidRPr="00EE53BB">
        <w:t>(</w:t>
      </w:r>
      <w:r w:rsidRPr="00EE53BB">
        <w:t>concerning the mistreatment of hundreds of detainees over more than a decade</w:t>
      </w:r>
      <w:r w:rsidR="00BE2F53" w:rsidRPr="00EE53BB">
        <w:t>)</w:t>
      </w:r>
      <w:r w:rsidRPr="00EE53BB">
        <w:t>, public outrage, media coverage, and political messaging aligned to condemn the settlement as ‘an insult to victims of crime’.</w:t>
      </w:r>
      <w:r w:rsidRPr="00EE53BB">
        <w:rPr>
          <w:rStyle w:val="EndnoteReference"/>
        </w:rPr>
        <w:endnoteReference w:id="74"/>
      </w:r>
      <w:r w:rsidRPr="00EE53BB">
        <w:t xml:space="preserve"> The next year, the Government legislated to limit compensation for detainees, including for the unlawful use of isolation, spit hoods, strip searches, and excessive force – with any money awarded to be first held in trust and made available for claim by individuals against whom the detainee had offended in the past.</w:t>
      </w:r>
      <w:r w:rsidRPr="00EE53BB">
        <w:rPr>
          <w:rStyle w:val="EndnoteReference"/>
        </w:rPr>
        <w:endnoteReference w:id="75"/>
      </w:r>
      <w:r w:rsidRPr="00EE53BB">
        <w:t xml:space="preserve"> ‘Community concerns about large payouts of taxpayer funds’ were explicitly cited as the reason for the scheme, while stakeholders warned that it would undermine accountability and ‘essentially removes any practical right to compensation for children who have experienced abuse in a detention centre’.</w:t>
      </w:r>
      <w:r w:rsidRPr="00EE53BB">
        <w:rPr>
          <w:rStyle w:val="EndnoteReference"/>
        </w:rPr>
        <w:endnoteReference w:id="76"/>
      </w:r>
    </w:p>
    <w:p w14:paraId="27FF53D6" w14:textId="30333299" w:rsidR="006D09CE" w:rsidRPr="00EE53BB" w:rsidRDefault="006D09CE" w:rsidP="00F61FD7">
      <w:pPr>
        <w:pStyle w:val="Heading3"/>
      </w:pPr>
      <w:r w:rsidRPr="00EE53BB">
        <w:t>Conclusion and recommendations</w:t>
      </w:r>
    </w:p>
    <w:p w14:paraId="127F6567" w14:textId="19B136D9" w:rsidR="00FC0E97" w:rsidRPr="00EE53BB" w:rsidRDefault="005A2271" w:rsidP="003444C7">
      <w:r w:rsidRPr="00EE53BB">
        <w:t xml:space="preserve">The above examples illustrate the breadth of mechanisms working in lockstep to normalise </w:t>
      </w:r>
      <w:r w:rsidR="006A7B42">
        <w:t xml:space="preserve">racism and </w:t>
      </w:r>
      <w:r w:rsidRPr="00EE53BB">
        <w:t xml:space="preserve">harm against </w:t>
      </w:r>
      <w:r w:rsidR="00097E11">
        <w:t>Aboriginal</w:t>
      </w:r>
      <w:r w:rsidRPr="00EE53BB">
        <w:t xml:space="preserve"> and </w:t>
      </w:r>
      <w:r w:rsidR="00097E11">
        <w:t xml:space="preserve">Torres Strait Islander </w:t>
      </w:r>
      <w:r w:rsidRPr="00EE53BB">
        <w:t xml:space="preserve">children and young people. This </w:t>
      </w:r>
      <w:r w:rsidR="00AC2B1B">
        <w:t>system</w:t>
      </w:r>
      <w:r w:rsidR="000A1980">
        <w:t>ic</w:t>
      </w:r>
      <w:r w:rsidR="00AC2B1B">
        <w:t xml:space="preserve"> racism </w:t>
      </w:r>
      <w:r w:rsidR="00012DFA">
        <w:t>is</w:t>
      </w:r>
      <w:r w:rsidRPr="00EE53BB">
        <w:t xml:space="preserve"> the </w:t>
      </w:r>
      <w:r w:rsidR="009F6D91" w:rsidRPr="00EE53BB">
        <w:t xml:space="preserve">context in which we see </w:t>
      </w:r>
      <w:r w:rsidRPr="00EE53BB">
        <w:t>overt</w:t>
      </w:r>
      <w:r w:rsidR="00E70650">
        <w:t>ly racist</w:t>
      </w:r>
      <w:r w:rsidRPr="00EE53BB">
        <w:t xml:space="preserve"> actions by </w:t>
      </w:r>
      <w:r w:rsidR="00301B5D">
        <w:t xml:space="preserve">individual </w:t>
      </w:r>
      <w:r w:rsidRPr="00EE53BB">
        <w:t>members of the public – whether by using cable ties to restrain 6–8-year-old children who sw</w:t>
      </w:r>
      <w:r w:rsidR="00E70650">
        <w:t>i</w:t>
      </w:r>
      <w:r w:rsidRPr="00EE53BB">
        <w:t>m in a vacant pool,</w:t>
      </w:r>
      <w:r w:rsidRPr="00EE53BB">
        <w:rPr>
          <w:rStyle w:val="EndnoteReference"/>
        </w:rPr>
        <w:endnoteReference w:id="77"/>
      </w:r>
      <w:r w:rsidRPr="00EE53BB">
        <w:t xml:space="preserve"> or by murdering a 15-year-old boy simply walking home from school.</w:t>
      </w:r>
      <w:r w:rsidRPr="00EE53BB">
        <w:rPr>
          <w:rStyle w:val="EndnoteReference"/>
        </w:rPr>
        <w:endnoteReference w:id="78"/>
      </w:r>
      <w:r w:rsidRPr="00EE53BB">
        <w:t xml:space="preserve"> While both of these incidents resulted in convictions, many others receive no justice or remedy – including those who have lost their lives at the hands of the justice system.</w:t>
      </w:r>
      <w:r w:rsidRPr="00EE53BB">
        <w:rPr>
          <w:rStyle w:val="EndnoteReference"/>
        </w:rPr>
        <w:endnoteReference w:id="79"/>
      </w:r>
      <w:r w:rsidRPr="00EE53BB">
        <w:t xml:space="preserve"> </w:t>
      </w:r>
    </w:p>
    <w:p w14:paraId="00825A1E" w14:textId="77777777" w:rsidR="00FC0E97" w:rsidRPr="00EE53BB" w:rsidRDefault="00FC0E97" w:rsidP="00FC0E97">
      <w:r w:rsidRPr="00EE53BB">
        <w:t xml:space="preserve">Public debate is dominated by the voices of politicians, commentators, and community groups who claim to speak about children and young people, rather than with them. The </w:t>
      </w:r>
      <w:r>
        <w:t xml:space="preserve">National </w:t>
      </w:r>
      <w:r w:rsidRPr="00EE53BB">
        <w:t>Commission is committed to ensuring that First Nations children and young people are heard in matters affecting them, consistent with its legislative mandate and with the principles of self-determination. Any Government response to racism, hate, and violence directed at First Nations children and young people must include mechanisms for their meaningful participation, and must recognise First Nations children and young people as rights holders and as experts in their own lives.</w:t>
      </w:r>
    </w:p>
    <w:p w14:paraId="7849252C" w14:textId="77777777" w:rsidR="00203684" w:rsidRPr="00EE53BB" w:rsidRDefault="00203684" w:rsidP="00DA2847">
      <w:pPr>
        <w:pStyle w:val="Heading4"/>
      </w:pPr>
      <w:r w:rsidRPr="00EE53BB">
        <w:t>Recommendation 1</w:t>
      </w:r>
    </w:p>
    <w:p w14:paraId="1D141525" w14:textId="1046EB8E" w:rsidR="00A7103D" w:rsidRPr="00EE53BB" w:rsidRDefault="00203684" w:rsidP="00E64204">
      <w:pPr>
        <w:rPr>
          <w:b/>
          <w:bCs/>
        </w:rPr>
      </w:pPr>
      <w:r w:rsidRPr="00EE53BB">
        <w:rPr>
          <w:b/>
          <w:bCs/>
        </w:rPr>
        <w:t xml:space="preserve">Ensure the Racial Discrimination Act 1975 </w:t>
      </w:r>
      <w:r w:rsidR="00447C77">
        <w:rPr>
          <w:b/>
          <w:bCs/>
        </w:rPr>
        <w:t>is</w:t>
      </w:r>
      <w:r w:rsidRPr="00EE53BB">
        <w:rPr>
          <w:b/>
          <w:bCs/>
        </w:rPr>
        <w:t xml:space="preserve"> applied to </w:t>
      </w:r>
      <w:r w:rsidR="007A4538" w:rsidRPr="00EE53BB">
        <w:rPr>
          <w:b/>
          <w:bCs/>
        </w:rPr>
        <w:t xml:space="preserve">end racist hate speech against First Nations </w:t>
      </w:r>
      <w:r w:rsidR="00447C77">
        <w:rPr>
          <w:b/>
          <w:bCs/>
        </w:rPr>
        <w:t>people</w:t>
      </w:r>
      <w:r w:rsidR="00A7103D" w:rsidRPr="00EE53BB">
        <w:rPr>
          <w:b/>
          <w:bCs/>
        </w:rPr>
        <w:t xml:space="preserve"> </w:t>
      </w:r>
      <w:r w:rsidR="007A4538" w:rsidRPr="00EE53BB">
        <w:rPr>
          <w:b/>
          <w:bCs/>
        </w:rPr>
        <w:t>in the media</w:t>
      </w:r>
      <w:r w:rsidR="00A7103D" w:rsidRPr="00EE53BB">
        <w:rPr>
          <w:b/>
          <w:bCs/>
        </w:rPr>
        <w:t xml:space="preserve">. </w:t>
      </w:r>
    </w:p>
    <w:p w14:paraId="77C2645F" w14:textId="271D153E" w:rsidR="00E64204" w:rsidRPr="00EE53BB" w:rsidRDefault="00E64204" w:rsidP="00E64204">
      <w:r w:rsidRPr="00EE53BB">
        <w:t xml:space="preserve">In Australia’s 2017 review under the </w:t>
      </w:r>
      <w:r w:rsidRPr="00EE53BB">
        <w:rPr>
          <w:i/>
          <w:iCs/>
        </w:rPr>
        <w:t>International Convention on the Elimination of All Forms of Racial Discrimination</w:t>
      </w:r>
      <w:r w:rsidRPr="00EE53BB">
        <w:t>, the Committee expressed concern that expressions of racism, racial discrimination and xenophobia were on the rise in political debates and the media.</w:t>
      </w:r>
      <w:r w:rsidRPr="00EE53BB">
        <w:rPr>
          <w:rStyle w:val="EndnoteReference"/>
        </w:rPr>
        <w:endnoteReference w:id="80"/>
      </w:r>
      <w:r w:rsidRPr="00EE53BB">
        <w:t xml:space="preserve"> It recommended that public officials ‘formally reject and condemn hate speech’, that the </w:t>
      </w:r>
      <w:r w:rsidRPr="00EE53BB">
        <w:rPr>
          <w:i/>
          <w:iCs/>
        </w:rPr>
        <w:t>Racial Discrimination Act 1975</w:t>
      </w:r>
      <w:r w:rsidRPr="00EE53BB">
        <w:t xml:space="preserve"> be effectively applied to convey a clear message that racism will not be treated with impunity, and that Australia put an end to racist hate speech expressed in the media.</w:t>
      </w:r>
      <w:r w:rsidR="00A35CD2">
        <w:t xml:space="preserve"> </w:t>
      </w:r>
      <w:r w:rsidR="00A35CD2" w:rsidRPr="00A35CD2">
        <w:t>T</w:t>
      </w:r>
      <w:r w:rsidR="00206E94">
        <w:t>o do this, t</w:t>
      </w:r>
      <w:r w:rsidR="00A35CD2" w:rsidRPr="00A35CD2">
        <w:t xml:space="preserve">he Committee recommended </w:t>
      </w:r>
      <w:r w:rsidR="00206E94" w:rsidRPr="00A35CD2">
        <w:t>Australia</w:t>
      </w:r>
      <w:r w:rsidR="00A35CD2" w:rsidRPr="00A35CD2">
        <w:t xml:space="preserve"> ensure that the </w:t>
      </w:r>
      <w:r w:rsidR="00A35CD2" w:rsidRPr="0080312B">
        <w:rPr>
          <w:i/>
          <w:iCs/>
        </w:rPr>
        <w:t>Racial Discrimination Act 1975</w:t>
      </w:r>
      <w:r w:rsidR="00A35CD2" w:rsidRPr="00A35CD2">
        <w:t xml:space="preserve"> prevails over all other legislation that may be discriminatory, that it be brought into line with the Convention and its general recommendations, and that it is effectively applied by law enforcement officials, as well as recommending </w:t>
      </w:r>
      <w:r w:rsidR="009059E9">
        <w:t xml:space="preserve">intensified </w:t>
      </w:r>
      <w:r w:rsidR="00A35CD2" w:rsidRPr="00A35CD2">
        <w:t>efforts to raise the awareness of the public and civil servants, and that the media adopt a code of good conduct against racism.</w:t>
      </w:r>
    </w:p>
    <w:p w14:paraId="5E032990" w14:textId="144374DC" w:rsidR="00A7103D" w:rsidRPr="00EE53BB" w:rsidRDefault="000348FA" w:rsidP="00DA2847">
      <w:pPr>
        <w:pStyle w:val="Heading4"/>
      </w:pPr>
      <w:r w:rsidRPr="00EE53BB">
        <w:t>Recommendation</w:t>
      </w:r>
      <w:r w:rsidR="00A7103D" w:rsidRPr="00EE53BB">
        <w:t xml:space="preserve"> 2</w:t>
      </w:r>
    </w:p>
    <w:p w14:paraId="1B6EAB94" w14:textId="20BB4BE7" w:rsidR="00A7103D" w:rsidRDefault="00287FB6" w:rsidP="00E64204">
      <w:pPr>
        <w:rPr>
          <w:b/>
          <w:bCs/>
        </w:rPr>
      </w:pPr>
      <w:r>
        <w:rPr>
          <w:b/>
          <w:bCs/>
        </w:rPr>
        <w:t>The Government should f</w:t>
      </w:r>
      <w:r w:rsidR="002C28DB">
        <w:rPr>
          <w:b/>
          <w:bCs/>
        </w:rPr>
        <w:t xml:space="preserve">ully </w:t>
      </w:r>
      <w:r w:rsidR="000074A0">
        <w:rPr>
          <w:b/>
          <w:bCs/>
        </w:rPr>
        <w:t>incorporate</w:t>
      </w:r>
      <w:r w:rsidR="00F24CD8" w:rsidRPr="00EE53BB">
        <w:rPr>
          <w:b/>
          <w:bCs/>
        </w:rPr>
        <w:t xml:space="preserve"> the </w:t>
      </w:r>
      <w:r w:rsidR="000348FA" w:rsidRPr="00EE53BB">
        <w:rPr>
          <w:b/>
          <w:bCs/>
        </w:rPr>
        <w:t xml:space="preserve">United Nations </w:t>
      </w:r>
      <w:r w:rsidR="00F24CD8" w:rsidRPr="00EE53BB">
        <w:rPr>
          <w:b/>
          <w:bCs/>
        </w:rPr>
        <w:t xml:space="preserve">Convention </w:t>
      </w:r>
      <w:r w:rsidR="000348FA" w:rsidRPr="00EE53BB">
        <w:rPr>
          <w:b/>
          <w:bCs/>
        </w:rPr>
        <w:t xml:space="preserve">on the Rights of the Child </w:t>
      </w:r>
      <w:r w:rsidR="00A6649A">
        <w:rPr>
          <w:b/>
          <w:bCs/>
        </w:rPr>
        <w:t xml:space="preserve">into domestic law and ensure it </w:t>
      </w:r>
      <w:r w:rsidR="006541B2" w:rsidRPr="00EE53BB">
        <w:rPr>
          <w:b/>
          <w:bCs/>
        </w:rPr>
        <w:t>is</w:t>
      </w:r>
      <w:r w:rsidR="00F24CD8" w:rsidRPr="00EE53BB">
        <w:rPr>
          <w:b/>
          <w:bCs/>
        </w:rPr>
        <w:t xml:space="preserve"> upheld for children in the </w:t>
      </w:r>
      <w:r w:rsidR="000348FA" w:rsidRPr="00EE53BB">
        <w:rPr>
          <w:b/>
          <w:bCs/>
        </w:rPr>
        <w:t xml:space="preserve">youth </w:t>
      </w:r>
      <w:r w:rsidR="00F24CD8" w:rsidRPr="00EE53BB">
        <w:rPr>
          <w:b/>
          <w:bCs/>
        </w:rPr>
        <w:t>justice system</w:t>
      </w:r>
      <w:r w:rsidR="000348FA" w:rsidRPr="00EE53BB">
        <w:rPr>
          <w:b/>
          <w:bCs/>
        </w:rPr>
        <w:t>.</w:t>
      </w:r>
    </w:p>
    <w:p w14:paraId="7502D462" w14:textId="0C5D4D28" w:rsidR="00D10A3B" w:rsidRPr="00EE53BB" w:rsidRDefault="00D10A3B" w:rsidP="00D10A3B">
      <w:pPr>
        <w:pStyle w:val="Heading4"/>
      </w:pPr>
      <w:r w:rsidRPr="00EE53BB">
        <w:t xml:space="preserve">Recommendation </w:t>
      </w:r>
      <w:r w:rsidR="00FF5776">
        <w:t>3</w:t>
      </w:r>
    </w:p>
    <w:p w14:paraId="2545A8ED" w14:textId="2452CC79" w:rsidR="00D10A3B" w:rsidRPr="00EE53BB" w:rsidRDefault="00D10A3B" w:rsidP="00E64204">
      <w:pPr>
        <w:rPr>
          <w:b/>
          <w:bCs/>
        </w:rPr>
      </w:pPr>
      <w:r w:rsidRPr="00EE53BB">
        <w:rPr>
          <w:b/>
          <w:bCs/>
        </w:rPr>
        <w:t>The Government should address public narratives that encourage racism, hate, and violence against First Nations children and young people.</w:t>
      </w:r>
    </w:p>
    <w:p w14:paraId="779193B5" w14:textId="4C7F1315" w:rsidR="00E64204" w:rsidRDefault="00E64204" w:rsidP="00E64204">
      <w:r w:rsidRPr="00EE53BB">
        <w:t xml:space="preserve">The United Nations Committee on the Rights of the Child has been explicit on state obligations in this area. In </w:t>
      </w:r>
      <w:r w:rsidRPr="00BA3ABD">
        <w:rPr>
          <w:i/>
        </w:rPr>
        <w:t>General Comment No. 24</w:t>
      </w:r>
      <w:r w:rsidRPr="00EE53BB">
        <w:t>, it observed that ‘</w:t>
      </w:r>
      <w:r w:rsidRPr="00EE53BB">
        <w:rPr>
          <w:lang w:val="en-US"/>
        </w:rPr>
        <w:t xml:space="preserve">Children who commit offences are often subjected to negative publicity in the media, which contributes to a discriminatory and negative stereotyping of those children’, and </w:t>
      </w:r>
      <w:r w:rsidRPr="00EE53BB">
        <w:rPr>
          <w:lang w:val="en-US"/>
        </w:rPr>
        <w:lastRenderedPageBreak/>
        <w:t>that this ‘</w:t>
      </w:r>
      <w:r w:rsidRPr="00EE53BB">
        <w:t>regularly results in calls for tougher approaches’. States parties should ‘seek the active and positive involvement of Members of Parliament, non-governmental organi</w:t>
      </w:r>
      <w:r w:rsidR="00263659">
        <w:t>s</w:t>
      </w:r>
      <w:r w:rsidRPr="00EE53BB">
        <w:t>ations and the media to promote and support education and other campaigns to ensure that all aspects of the Convention are upheld for children who are in the child justice system’.</w:t>
      </w:r>
      <w:r w:rsidRPr="00EE53BB">
        <w:rPr>
          <w:rStyle w:val="EndnoteReference"/>
        </w:rPr>
        <w:endnoteReference w:id="81"/>
      </w:r>
    </w:p>
    <w:p w14:paraId="23BD160B" w14:textId="47B70627" w:rsidR="00D10A3B" w:rsidRPr="00EE53BB" w:rsidRDefault="00D10A3B" w:rsidP="00E64204">
      <w:r w:rsidRPr="00EE53BB">
        <w:t>Critically, governments must play an active role in combating public narratives that fuel racism, hate, and violence against First Nations children and young people,</w:t>
      </w:r>
      <w:r w:rsidRPr="00EE53BB">
        <w:rPr>
          <w:rStyle w:val="EndnoteReference"/>
        </w:rPr>
        <w:endnoteReference w:id="82"/>
      </w:r>
      <w:r w:rsidRPr="00EE53BB">
        <w:t xml:space="preserve"> including investigating options for combating coordinated online targeting of identifiable children in local community settings, and progressing a national truth-telling commission.</w:t>
      </w:r>
    </w:p>
    <w:p w14:paraId="76EBE8B8" w14:textId="638C64D8" w:rsidR="000348FA" w:rsidRPr="00EE53BB" w:rsidRDefault="00642A11" w:rsidP="00DA2847">
      <w:pPr>
        <w:pStyle w:val="Heading4"/>
      </w:pPr>
      <w:r w:rsidRPr="00EE53BB">
        <w:t>Recommendation</w:t>
      </w:r>
      <w:r w:rsidR="000348FA" w:rsidRPr="00EE53BB">
        <w:t xml:space="preserve"> </w:t>
      </w:r>
      <w:r w:rsidR="00772247">
        <w:t>4</w:t>
      </w:r>
    </w:p>
    <w:p w14:paraId="18750A99" w14:textId="0CF07A44" w:rsidR="000348FA" w:rsidRPr="00EE53BB" w:rsidRDefault="000348FA" w:rsidP="00E64204">
      <w:pPr>
        <w:rPr>
          <w:b/>
          <w:bCs/>
        </w:rPr>
      </w:pPr>
      <w:r w:rsidRPr="00EE53BB">
        <w:rPr>
          <w:b/>
          <w:bCs/>
        </w:rPr>
        <w:t xml:space="preserve">That the Government </w:t>
      </w:r>
      <w:r w:rsidR="009852C0" w:rsidRPr="00EE53BB">
        <w:rPr>
          <w:b/>
          <w:bCs/>
        </w:rPr>
        <w:t xml:space="preserve">legislate </w:t>
      </w:r>
      <w:r w:rsidR="005C1467" w:rsidRPr="00EE53BB">
        <w:rPr>
          <w:b/>
          <w:bCs/>
        </w:rPr>
        <w:t xml:space="preserve">a national minimum age of criminal responsibility of 14 and </w:t>
      </w:r>
      <w:r w:rsidR="009852C0" w:rsidRPr="00EE53BB">
        <w:rPr>
          <w:b/>
          <w:bCs/>
        </w:rPr>
        <w:t xml:space="preserve">enforceable minimum standards for youth justice. </w:t>
      </w:r>
    </w:p>
    <w:p w14:paraId="340F085C" w14:textId="652A4D1C" w:rsidR="009D6C99" w:rsidRPr="00EE53BB" w:rsidRDefault="009D6C99" w:rsidP="009D6C99">
      <w:r w:rsidRPr="00EE53BB">
        <w:t xml:space="preserve">Governments </w:t>
      </w:r>
      <w:r w:rsidR="001841B7" w:rsidRPr="00EE53BB">
        <w:t>seeking</w:t>
      </w:r>
      <w:r w:rsidRPr="00EE53BB">
        <w:t xml:space="preserve"> to address racism, hate, and violence directed at First Nations children and young people must take accountability </w:t>
      </w:r>
      <w:r w:rsidR="00D071B1" w:rsidRPr="00EE53BB">
        <w:t xml:space="preserve">to </w:t>
      </w:r>
      <w:r w:rsidRPr="00EE53BB">
        <w:t>end systemic harms. This includes by facilitating independent investigations into deaths in custody;</w:t>
      </w:r>
      <w:r w:rsidRPr="00EE53BB">
        <w:rPr>
          <w:rStyle w:val="EndnoteReference"/>
        </w:rPr>
        <w:endnoteReference w:id="83"/>
      </w:r>
      <w:r w:rsidRPr="00EE53BB">
        <w:t xml:space="preserve"> legislating </w:t>
      </w:r>
      <w:r w:rsidR="00E0019A" w:rsidRPr="00EE53BB">
        <w:t>a national minimum age of criminal responsibility of 14</w:t>
      </w:r>
      <w:r w:rsidR="0001654E">
        <w:t>,</w:t>
      </w:r>
      <w:r w:rsidR="00B87037" w:rsidRPr="00EE53BB">
        <w:t xml:space="preserve"> with no exceptions</w:t>
      </w:r>
      <w:r w:rsidR="0001654E">
        <w:t>,</w:t>
      </w:r>
      <w:r w:rsidR="00CB10CE">
        <w:t xml:space="preserve"> </w:t>
      </w:r>
      <w:r w:rsidR="00B87037" w:rsidRPr="00EE53BB">
        <w:t xml:space="preserve">and </w:t>
      </w:r>
      <w:r w:rsidRPr="00EE53BB">
        <w:t xml:space="preserve">enforceable minimum standards for youth justice; and urgently moving away from punitive responses that violate children’s rights under international law. </w:t>
      </w:r>
      <w:r w:rsidR="00B87037" w:rsidRPr="00EE53BB">
        <w:t xml:space="preserve">This should include ensuring that children with disabilities are kept out of contact with the justice system </w:t>
      </w:r>
      <w:r w:rsidR="00F312AA" w:rsidRPr="00EE53BB">
        <w:t>and that detention is only used as a last resort</w:t>
      </w:r>
      <w:r w:rsidR="00E012FC" w:rsidRPr="00EE53BB">
        <w:t>, with a view to moving towards</w:t>
      </w:r>
      <w:r w:rsidR="004550F7" w:rsidRPr="00EE53BB">
        <w:t xml:space="preserve"> prevention, early intervention, and</w:t>
      </w:r>
      <w:r w:rsidR="00E012FC" w:rsidRPr="00EE53BB">
        <w:t xml:space="preserve"> more effective</w:t>
      </w:r>
      <w:r w:rsidR="004550F7" w:rsidRPr="00EE53BB">
        <w:t>,</w:t>
      </w:r>
      <w:r w:rsidR="00E012FC" w:rsidRPr="00EE53BB">
        <w:t xml:space="preserve"> evidence-based</w:t>
      </w:r>
      <w:r w:rsidR="001231E4">
        <w:t>, and community-controlled</w:t>
      </w:r>
      <w:r w:rsidR="00E012FC" w:rsidRPr="00EE53BB">
        <w:t xml:space="preserve"> responses.</w:t>
      </w:r>
    </w:p>
    <w:p w14:paraId="265A5DF9" w14:textId="3BF1436A" w:rsidR="00826766" w:rsidRPr="00EE53BB" w:rsidRDefault="00826766" w:rsidP="00DA2847">
      <w:pPr>
        <w:pStyle w:val="Heading4"/>
      </w:pPr>
      <w:r w:rsidRPr="00EE53BB">
        <w:t xml:space="preserve">Recommendation </w:t>
      </w:r>
      <w:r w:rsidR="00772247">
        <w:t>5</w:t>
      </w:r>
    </w:p>
    <w:p w14:paraId="1465DAA7" w14:textId="375B9850" w:rsidR="00826766" w:rsidRPr="00EE53BB" w:rsidRDefault="00826766" w:rsidP="009D6C99">
      <w:pPr>
        <w:rPr>
          <w:b/>
          <w:bCs/>
        </w:rPr>
      </w:pPr>
      <w:r w:rsidRPr="00EE53BB">
        <w:rPr>
          <w:b/>
          <w:bCs/>
        </w:rPr>
        <w:t>The Government should full</w:t>
      </w:r>
      <w:r w:rsidR="00D544E8" w:rsidRPr="00EE53BB">
        <w:rPr>
          <w:b/>
          <w:bCs/>
        </w:rPr>
        <w:t>y</w:t>
      </w:r>
      <w:r w:rsidRPr="00EE53BB">
        <w:rPr>
          <w:b/>
          <w:bCs/>
        </w:rPr>
        <w:t xml:space="preserve"> incorporate</w:t>
      </w:r>
      <w:r w:rsidR="008239B2" w:rsidRPr="00EE53BB">
        <w:rPr>
          <w:b/>
          <w:bCs/>
        </w:rPr>
        <w:t xml:space="preserve"> the United Nations Declaration on the Rights of Indigenous Peoples into domestic law.</w:t>
      </w:r>
    </w:p>
    <w:p w14:paraId="1E3D4B34" w14:textId="26D18EBB" w:rsidR="008239B2" w:rsidRPr="00EE53BB" w:rsidRDefault="008239B2" w:rsidP="00DA2847">
      <w:pPr>
        <w:pStyle w:val="Heading4"/>
      </w:pPr>
      <w:r w:rsidRPr="00EE53BB">
        <w:t xml:space="preserve">Recommendation </w:t>
      </w:r>
      <w:r w:rsidR="00772247">
        <w:t>6</w:t>
      </w:r>
    </w:p>
    <w:p w14:paraId="46586599" w14:textId="72764791" w:rsidR="008239B2" w:rsidRPr="00EE53BB" w:rsidRDefault="008239B2" w:rsidP="009D6C99">
      <w:pPr>
        <w:rPr>
          <w:b/>
          <w:bCs/>
        </w:rPr>
      </w:pPr>
      <w:r w:rsidRPr="00EE53BB">
        <w:rPr>
          <w:b/>
          <w:bCs/>
        </w:rPr>
        <w:t>The Government should adopt all the recommendations from the Australian Human Rights Commission’s National Anti-Racism Framework.</w:t>
      </w:r>
    </w:p>
    <w:p w14:paraId="4A78E11D" w14:textId="659C5802" w:rsidR="008239B2" w:rsidRPr="00EE53BB" w:rsidRDefault="008239B2" w:rsidP="00DA2847">
      <w:pPr>
        <w:pStyle w:val="Heading4"/>
      </w:pPr>
      <w:r w:rsidRPr="00EE53BB">
        <w:t xml:space="preserve">Recommendation </w:t>
      </w:r>
      <w:r w:rsidR="00772247">
        <w:t>7</w:t>
      </w:r>
    </w:p>
    <w:p w14:paraId="07B44B10" w14:textId="7384B48B" w:rsidR="008239B2" w:rsidRPr="00EE53BB" w:rsidRDefault="008239B2" w:rsidP="009D6C99">
      <w:pPr>
        <w:rPr>
          <w:b/>
          <w:bCs/>
        </w:rPr>
      </w:pPr>
      <w:r w:rsidRPr="00EE53BB">
        <w:rPr>
          <w:b/>
          <w:bCs/>
        </w:rPr>
        <w:t xml:space="preserve">The Government should ratify the </w:t>
      </w:r>
      <w:r w:rsidR="00002D7C" w:rsidRPr="00EE53BB">
        <w:rPr>
          <w:b/>
          <w:bCs/>
        </w:rPr>
        <w:t>Optional Protocol to the Convention on the Rights of the Child</w:t>
      </w:r>
      <w:r w:rsidR="00FC3331" w:rsidRPr="00EE53BB">
        <w:rPr>
          <w:b/>
          <w:bCs/>
        </w:rPr>
        <w:t xml:space="preserve"> on a Communications Pro</w:t>
      </w:r>
      <w:r w:rsidR="002269B4" w:rsidRPr="00EE53BB">
        <w:rPr>
          <w:b/>
          <w:bCs/>
        </w:rPr>
        <w:t>cedure.</w:t>
      </w:r>
    </w:p>
    <w:p w14:paraId="6A2D0486" w14:textId="754CC6FA" w:rsidR="00533272" w:rsidRPr="00EE53BB" w:rsidRDefault="00600CF6" w:rsidP="009D6C99">
      <w:r w:rsidRPr="00EE53BB">
        <w:t xml:space="preserve">All avenues for complaints and remedy must be made accessible to children and young people, including through ratifying the Optional Protocol to the </w:t>
      </w:r>
      <w:r w:rsidRPr="00EE53BB">
        <w:rPr>
          <w:i/>
          <w:iCs/>
        </w:rPr>
        <w:t>Convention on the Rights of the Child</w:t>
      </w:r>
      <w:r w:rsidRPr="00EE53BB">
        <w:t xml:space="preserve"> on a Communications Procedure and by removing legislative instruments that restrict remedies for harm.</w:t>
      </w:r>
      <w:r w:rsidR="000E45E5">
        <w:t xml:space="preserve"> </w:t>
      </w:r>
      <w:r w:rsidR="002F2BE1" w:rsidRPr="00EE53BB">
        <w:t xml:space="preserve">The rights of First Nations children and young people to be heard on matters that affect them are protected under Article 12 of the </w:t>
      </w:r>
      <w:r w:rsidR="002F2BE1" w:rsidRPr="00BA3ABD">
        <w:rPr>
          <w:i/>
        </w:rPr>
        <w:t>Convention on the Rights of the Child</w:t>
      </w:r>
      <w:r w:rsidR="002F2BE1" w:rsidRPr="00EE53BB">
        <w:t xml:space="preserve"> and </w:t>
      </w:r>
      <w:r w:rsidR="00804555">
        <w:t>A</w:t>
      </w:r>
      <w:r w:rsidR="002F2BE1" w:rsidRPr="00EE53BB">
        <w:t xml:space="preserve">rticles 18 and 22 of the </w:t>
      </w:r>
      <w:r w:rsidR="002F2BE1" w:rsidRPr="00BA3ABD">
        <w:rPr>
          <w:i/>
        </w:rPr>
        <w:t>United Nations Declaration on the Rights of Indigenous Peoples</w:t>
      </w:r>
      <w:r w:rsidR="002F2BE1" w:rsidRPr="00EE53BB">
        <w:t xml:space="preserve">. Yet the children and young people most affected by racism, hate, and violence are frequently absent from the policy conversations that determine their futures. </w:t>
      </w:r>
    </w:p>
    <w:p w14:paraId="49975A83" w14:textId="519B21A8" w:rsidR="002269B4" w:rsidRPr="00EE53BB" w:rsidRDefault="002269B4" w:rsidP="00DA2847">
      <w:pPr>
        <w:pStyle w:val="Heading4"/>
      </w:pPr>
      <w:r w:rsidRPr="00EE53BB">
        <w:t xml:space="preserve">Recommendation </w:t>
      </w:r>
      <w:r w:rsidR="00772247">
        <w:t>8</w:t>
      </w:r>
    </w:p>
    <w:p w14:paraId="4731D979" w14:textId="42D5AB27" w:rsidR="002269B4" w:rsidRPr="00EE53BB" w:rsidRDefault="002269B4" w:rsidP="009D6C99">
      <w:pPr>
        <w:rPr>
          <w:b/>
          <w:bCs/>
        </w:rPr>
      </w:pPr>
      <w:r w:rsidRPr="00EE53BB">
        <w:rPr>
          <w:b/>
          <w:bCs/>
        </w:rPr>
        <w:t xml:space="preserve">That the Government implement </w:t>
      </w:r>
      <w:r w:rsidR="00815692" w:rsidRPr="00EE53BB">
        <w:rPr>
          <w:b/>
          <w:bCs/>
        </w:rPr>
        <w:t>the</w:t>
      </w:r>
      <w:r w:rsidRPr="00EE53BB">
        <w:rPr>
          <w:b/>
          <w:bCs/>
        </w:rPr>
        <w:t xml:space="preserve"> recommendations from the Statutory Review of the Online Safety Act 2021.</w:t>
      </w:r>
    </w:p>
    <w:p w14:paraId="588A82EC" w14:textId="2F87B6B7" w:rsidR="00E479A8" w:rsidRPr="00EE53BB" w:rsidRDefault="00A045CB" w:rsidP="009D6C99">
      <w:r w:rsidRPr="00EE53BB">
        <w:t xml:space="preserve">Recommendations from the </w:t>
      </w:r>
      <w:r w:rsidR="00DA6523" w:rsidRPr="00EE53BB">
        <w:rPr>
          <w:i/>
          <w:iCs/>
        </w:rPr>
        <w:t>Statutory Review of the Online Safety Act 2021</w:t>
      </w:r>
      <w:r w:rsidR="00DA6523" w:rsidRPr="00EE53BB">
        <w:t xml:space="preserve"> </w:t>
      </w:r>
      <w:r w:rsidR="00975C18" w:rsidRPr="00EE53BB">
        <w:t xml:space="preserve">should be implemented, including </w:t>
      </w:r>
      <w:r w:rsidR="00A4464B" w:rsidRPr="00EE53BB">
        <w:t>that Australia adopt a</w:t>
      </w:r>
      <w:r w:rsidR="00E507E0" w:rsidRPr="00EE53BB">
        <w:t xml:space="preserve">n </w:t>
      </w:r>
      <w:r w:rsidR="00A4464B" w:rsidRPr="00EE53BB">
        <w:t xml:space="preserve">overarching duty of care </w:t>
      </w:r>
      <w:r w:rsidR="000306CE" w:rsidRPr="00EE53BB">
        <w:t>and that the</w:t>
      </w:r>
      <w:r w:rsidR="009B396C" w:rsidRPr="00EE53BB">
        <w:t xml:space="preserve"> best interests of the child </w:t>
      </w:r>
      <w:r w:rsidR="000306CE" w:rsidRPr="00EE53BB">
        <w:t>are</w:t>
      </w:r>
      <w:r w:rsidR="009B396C" w:rsidRPr="00EE53BB">
        <w:t xml:space="preserve"> a primary consideration for online service providers in assessing and mitigating </w:t>
      </w:r>
      <w:r w:rsidR="001634F3" w:rsidRPr="00EE53BB">
        <w:t>r</w:t>
      </w:r>
      <w:r w:rsidR="009B396C" w:rsidRPr="00EE53BB">
        <w:t>isks, including risks to children who may use the service and risks to children as a result of how the service may be used.</w:t>
      </w:r>
      <w:r w:rsidR="008805E4" w:rsidRPr="00EE53BB">
        <w:rPr>
          <w:rStyle w:val="EndnoteReference"/>
        </w:rPr>
        <w:endnoteReference w:id="84"/>
      </w:r>
    </w:p>
    <w:p w14:paraId="070FEAA4" w14:textId="3E551D72" w:rsidR="00E65B76" w:rsidRPr="00EE53BB" w:rsidRDefault="00E65B76" w:rsidP="00DA2847">
      <w:pPr>
        <w:pStyle w:val="Heading4"/>
      </w:pPr>
      <w:r w:rsidRPr="00EE53BB">
        <w:t xml:space="preserve">Recommendation </w:t>
      </w:r>
      <w:r w:rsidR="00772247">
        <w:t>9</w:t>
      </w:r>
    </w:p>
    <w:p w14:paraId="13B6BC4B" w14:textId="2B51FB94" w:rsidR="00E65B76" w:rsidRPr="00EE53BB" w:rsidRDefault="00E65B76" w:rsidP="009D6C99">
      <w:pPr>
        <w:rPr>
          <w:b/>
          <w:bCs/>
        </w:rPr>
      </w:pPr>
      <w:r w:rsidRPr="00EE53BB">
        <w:rPr>
          <w:b/>
          <w:bCs/>
        </w:rPr>
        <w:t xml:space="preserve">The Parliament should investigate </w:t>
      </w:r>
      <w:r w:rsidR="008323BE" w:rsidRPr="00EE53BB">
        <w:rPr>
          <w:b/>
          <w:bCs/>
        </w:rPr>
        <w:t>whether existing transparency frameworks</w:t>
      </w:r>
      <w:r w:rsidR="00D00D04" w:rsidRPr="00EE53BB">
        <w:rPr>
          <w:b/>
          <w:bCs/>
        </w:rPr>
        <w:t xml:space="preserve"> are sufficient to</w:t>
      </w:r>
      <w:r w:rsidR="00215842" w:rsidRPr="00EE53BB">
        <w:rPr>
          <w:b/>
          <w:bCs/>
        </w:rPr>
        <w:t xml:space="preserve"> manage the risk of legislating according to ‘community expectations.’</w:t>
      </w:r>
    </w:p>
    <w:p w14:paraId="28D4B972" w14:textId="3797EC26" w:rsidR="005A2271" w:rsidRPr="00EE53BB" w:rsidRDefault="005A2271" w:rsidP="00AD3577">
      <w:r w:rsidRPr="00EE53BB">
        <w:t>The</w:t>
      </w:r>
      <w:r w:rsidRPr="00EE53BB" w:rsidDel="002B2B59">
        <w:t xml:space="preserve"> </w:t>
      </w:r>
      <w:r w:rsidR="002B2B59">
        <w:t>Parliament</w:t>
      </w:r>
      <w:r w:rsidR="002B2B59" w:rsidRPr="00EE53BB">
        <w:t xml:space="preserve"> </w:t>
      </w:r>
      <w:r w:rsidRPr="00EE53BB">
        <w:t>should</w:t>
      </w:r>
      <w:r w:rsidR="00E32A25" w:rsidRPr="00EE53BB">
        <w:t xml:space="preserve"> </w:t>
      </w:r>
      <w:r w:rsidRPr="00EE53BB">
        <w:t xml:space="preserve">investigate whether existing lobbying and political transparency frameworks are adequate to address media-branded legislative campaigns, and whether governments responding to those campaigns as evidence of ‘community expectations’ should be required to disclose that basis. </w:t>
      </w:r>
    </w:p>
    <w:p w14:paraId="44DE7E89" w14:textId="5228A215" w:rsidR="008C26B8" w:rsidRPr="00CC112C" w:rsidRDefault="008C26B8" w:rsidP="00BA3ABD">
      <w:pPr>
        <w:keepNext/>
        <w:keepLines/>
        <w:spacing w:before="80" w:after="40"/>
        <w:outlineLvl w:val="3"/>
      </w:pPr>
    </w:p>
    <w:sectPr w:rsidR="008C26B8" w:rsidRPr="00CC112C" w:rsidSect="00F46F14">
      <w:endnotePr>
        <w:numFmt w:val="decimal"/>
      </w:endnotePr>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497D" w14:textId="77777777" w:rsidR="00F35CEA" w:rsidRPr="00707C53" w:rsidRDefault="00F35CEA" w:rsidP="00A6010E">
      <w:pPr>
        <w:spacing w:after="0" w:line="240" w:lineRule="auto"/>
      </w:pPr>
      <w:r w:rsidRPr="00707C53">
        <w:separator/>
      </w:r>
    </w:p>
  </w:endnote>
  <w:endnote w:type="continuationSeparator" w:id="0">
    <w:p w14:paraId="7428226B" w14:textId="77777777" w:rsidR="00F35CEA" w:rsidRPr="00707C53" w:rsidRDefault="00F35CEA" w:rsidP="00A6010E">
      <w:pPr>
        <w:spacing w:after="0" w:line="240" w:lineRule="auto"/>
      </w:pPr>
      <w:r w:rsidRPr="00707C53">
        <w:continuationSeparator/>
      </w:r>
    </w:p>
  </w:endnote>
  <w:endnote w:id="1">
    <w:p w14:paraId="1AE223E5" w14:textId="74415B51" w:rsidR="00891EB5" w:rsidRPr="00891EB5" w:rsidRDefault="00891EB5">
      <w:pPr>
        <w:pStyle w:val="EndnoteText"/>
        <w:rPr>
          <w:lang w:val="en-US"/>
        </w:rPr>
      </w:pPr>
      <w:r w:rsidRPr="00C55E5F">
        <w:rPr>
          <w:rStyle w:val="EndnoteReference"/>
          <w:sz w:val="16"/>
          <w:szCs w:val="16"/>
        </w:rPr>
        <w:endnoteRef/>
      </w:r>
      <w:r w:rsidRPr="00C55E5F">
        <w:rPr>
          <w:sz w:val="16"/>
          <w:szCs w:val="16"/>
        </w:rPr>
        <w:t xml:space="preserve"> </w:t>
      </w:r>
      <w:r w:rsidRPr="00C55E5F">
        <w:rPr>
          <w:sz w:val="16"/>
          <w:szCs w:val="16"/>
          <w:lang w:val="en-US"/>
        </w:rPr>
        <w:t xml:space="preserve">United Nations </w:t>
      </w:r>
      <w:r w:rsidR="008C659C" w:rsidRPr="00C55E5F">
        <w:rPr>
          <w:sz w:val="16"/>
          <w:szCs w:val="16"/>
          <w:lang w:val="en-US"/>
        </w:rPr>
        <w:t xml:space="preserve">General Assembly (1965). </w:t>
      </w:r>
      <w:r w:rsidR="007210C0" w:rsidRPr="00C55E5F">
        <w:rPr>
          <w:i/>
          <w:iCs/>
          <w:sz w:val="16"/>
          <w:szCs w:val="16"/>
          <w:lang w:val="en-US"/>
        </w:rPr>
        <w:t>International Convention on the Elimination of All Forms of Racial Discrimination</w:t>
      </w:r>
      <w:r w:rsidR="00D50056" w:rsidRPr="00C55E5F">
        <w:rPr>
          <w:i/>
          <w:iCs/>
          <w:sz w:val="16"/>
          <w:szCs w:val="16"/>
          <w:lang w:val="en-US"/>
        </w:rPr>
        <w:t>,</w:t>
      </w:r>
      <w:r w:rsidR="00D50056" w:rsidRPr="00C55E5F">
        <w:rPr>
          <w:sz w:val="16"/>
          <w:szCs w:val="16"/>
          <w:lang w:val="en-US"/>
        </w:rPr>
        <w:t xml:space="preserve"> </w:t>
      </w:r>
      <w:hyperlink r:id="rId1" w:history="1">
        <w:r w:rsidR="00C55E5F" w:rsidRPr="00C55E5F">
          <w:rPr>
            <w:rStyle w:val="Hyperlink"/>
            <w:sz w:val="16"/>
            <w:szCs w:val="16"/>
            <w:lang w:val="en-US"/>
          </w:rPr>
          <w:t>https://www.ohchr.org/en/instruments-mechanisms/instruments/international-convention-elimination-all-forms-racial</w:t>
        </w:r>
      </w:hyperlink>
      <w:r w:rsidR="00C55E5F" w:rsidRPr="00C55E5F">
        <w:rPr>
          <w:sz w:val="16"/>
          <w:szCs w:val="16"/>
          <w:lang w:val="en-US"/>
        </w:rPr>
        <w:t xml:space="preserve"> </w:t>
      </w:r>
    </w:p>
  </w:endnote>
  <w:endnote w:id="2">
    <w:p w14:paraId="4D827C3E" w14:textId="77777777" w:rsidR="00425A1E" w:rsidRPr="00656AE8" w:rsidRDefault="00425A1E"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Human Rights and Equal Opportunity Commission (1997). ‘</w:t>
      </w:r>
      <w:r w:rsidRPr="00656AE8">
        <w:rPr>
          <w:rFonts w:cs="Arial"/>
          <w:sz w:val="16"/>
          <w:szCs w:val="16"/>
        </w:rPr>
        <w:t xml:space="preserve">Chapter 24 Juvenile Justice’. </w:t>
      </w:r>
      <w:r w:rsidRPr="00656AE8">
        <w:rPr>
          <w:rFonts w:cs="Arial"/>
          <w:i/>
          <w:iCs/>
          <w:sz w:val="16"/>
          <w:szCs w:val="16"/>
          <w:lang w:val="en-US"/>
        </w:rPr>
        <w:t>Bringing them Home: Report of the National Inquiry into the Separation of Aboriginal and Torres Strait Islander Children from Their Families</w:t>
      </w:r>
      <w:r w:rsidRPr="00656AE8">
        <w:rPr>
          <w:rFonts w:cs="Arial"/>
          <w:sz w:val="16"/>
          <w:szCs w:val="16"/>
          <w:lang w:val="en-US"/>
        </w:rPr>
        <w:t xml:space="preserve">, </w:t>
      </w:r>
      <w:hyperlink r:id="rId2" w:history="1">
        <w:r w:rsidRPr="00656AE8">
          <w:rPr>
            <w:rStyle w:val="Hyperlink"/>
            <w:rFonts w:cs="Arial"/>
            <w:sz w:val="16"/>
            <w:szCs w:val="16"/>
            <w:lang w:val="en-US"/>
          </w:rPr>
          <w:t>https://humanrights.gov.au/resource-hub/by-resource-type/bringing-them-home-reports/bringing-them-home-chapter-24</w:t>
        </w:r>
      </w:hyperlink>
      <w:r w:rsidRPr="00656AE8">
        <w:rPr>
          <w:rFonts w:cs="Arial"/>
          <w:sz w:val="16"/>
          <w:szCs w:val="16"/>
          <w:lang w:val="en-US"/>
        </w:rPr>
        <w:t xml:space="preserve"> </w:t>
      </w:r>
    </w:p>
  </w:endnote>
  <w:endnote w:id="3">
    <w:p w14:paraId="677F4EE4" w14:textId="77777777"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National Family Matters Leadership Group, SNAICC – National Voice for our Children, and Corrales, T. (2025). </w:t>
      </w:r>
      <w:r w:rsidRPr="00656AE8">
        <w:rPr>
          <w:rFonts w:cs="Arial"/>
          <w:i/>
          <w:iCs/>
          <w:sz w:val="16"/>
          <w:szCs w:val="16"/>
          <w:lang w:val="en-US"/>
        </w:rPr>
        <w:t>Family Matters Report 2025</w:t>
      </w:r>
      <w:r w:rsidRPr="00656AE8">
        <w:rPr>
          <w:rFonts w:cs="Arial"/>
          <w:sz w:val="16"/>
          <w:szCs w:val="16"/>
          <w:lang w:val="en-US"/>
        </w:rPr>
        <w:t xml:space="preserve">, </w:t>
      </w:r>
      <w:hyperlink r:id="rId3" w:history="1">
        <w:r w:rsidRPr="00656AE8">
          <w:rPr>
            <w:rStyle w:val="Hyperlink"/>
            <w:rFonts w:cs="Arial"/>
            <w:sz w:val="16"/>
            <w:szCs w:val="16"/>
            <w:lang w:val="en-US"/>
          </w:rPr>
          <w:t>https://www.snaicc.org.au/wp-content/uploads/2026/01/Family-Matters-Report-2025-Web-v2.pdf</w:t>
        </w:r>
      </w:hyperlink>
      <w:r w:rsidRPr="00656AE8">
        <w:rPr>
          <w:rFonts w:cs="Arial"/>
          <w:sz w:val="16"/>
          <w:szCs w:val="16"/>
          <w:lang w:val="en-US"/>
        </w:rPr>
        <w:t xml:space="preserve"> </w:t>
      </w:r>
    </w:p>
  </w:endnote>
  <w:endnote w:id="4">
    <w:p w14:paraId="32811A50" w14:textId="1B696F60" w:rsidR="005A2271" w:rsidRPr="00656AE8" w:rsidRDefault="005A2271"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Australian Government Australian Law Reform Commission (2017). </w:t>
      </w:r>
      <w:r w:rsidRPr="00656AE8">
        <w:rPr>
          <w:rFonts w:cs="Arial"/>
          <w:i/>
          <w:iCs/>
          <w:sz w:val="16"/>
          <w:szCs w:val="16"/>
        </w:rPr>
        <w:t>Pathways to Justice—Inquiry into the Incarceration Rate of Aboriginal and Torres Strait Islander Peoples: Final Report</w:t>
      </w:r>
      <w:r w:rsidRPr="00656AE8">
        <w:rPr>
          <w:rFonts w:cs="Arial"/>
          <w:sz w:val="16"/>
          <w:szCs w:val="16"/>
        </w:rPr>
        <w:t xml:space="preserve">. ALRC Report 133, </w:t>
      </w:r>
      <w:hyperlink r:id="rId4" w:history="1">
        <w:r w:rsidRPr="00656AE8">
          <w:rPr>
            <w:rStyle w:val="Hyperlink"/>
            <w:rFonts w:cs="Arial"/>
            <w:sz w:val="16"/>
            <w:szCs w:val="16"/>
          </w:rPr>
          <w:t>https://www.alrc.gov.au/wp-content/uploads/2019/08/final_report_133_amended1.pdf</w:t>
        </w:r>
      </w:hyperlink>
      <w:r w:rsidRPr="00656AE8">
        <w:rPr>
          <w:rFonts w:cs="Arial"/>
          <w:sz w:val="16"/>
          <w:szCs w:val="16"/>
        </w:rPr>
        <w:t xml:space="preserve"> </w:t>
      </w:r>
    </w:p>
  </w:endnote>
  <w:endnote w:id="5">
    <w:p w14:paraId="70D72F2F" w14:textId="664B4197"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Australian Government Australian Institute of Health and Welfare</w:t>
      </w:r>
      <w:r w:rsidR="00516689">
        <w:rPr>
          <w:rFonts w:cs="Arial"/>
          <w:sz w:val="16"/>
          <w:szCs w:val="16"/>
          <w:lang w:val="en-US"/>
        </w:rPr>
        <w:t xml:space="preserve"> (AIHW)</w:t>
      </w:r>
      <w:r w:rsidRPr="00656AE8">
        <w:rPr>
          <w:rFonts w:cs="Arial"/>
          <w:sz w:val="16"/>
          <w:szCs w:val="16"/>
          <w:lang w:val="en-US"/>
        </w:rPr>
        <w:t xml:space="preserve"> (2025). ‘Youth justice’. </w:t>
      </w:r>
      <w:r w:rsidRPr="00656AE8">
        <w:rPr>
          <w:rFonts w:cs="Arial"/>
          <w:i/>
          <w:iCs/>
          <w:sz w:val="16"/>
          <w:szCs w:val="16"/>
          <w:lang w:val="en-US"/>
        </w:rPr>
        <w:t>Closing the Gap targets: key findings and implications</w:t>
      </w:r>
      <w:r w:rsidRPr="00656AE8">
        <w:rPr>
          <w:rFonts w:cs="Arial"/>
          <w:sz w:val="16"/>
          <w:szCs w:val="16"/>
          <w:lang w:val="en-US"/>
        </w:rPr>
        <w:t xml:space="preserve">, </w:t>
      </w:r>
      <w:hyperlink r:id="rId5" w:history="1">
        <w:r w:rsidR="002E1D0F" w:rsidRPr="00261B98">
          <w:rPr>
            <w:rStyle w:val="Hyperlink"/>
            <w:rFonts w:cs="Arial"/>
            <w:sz w:val="16"/>
            <w:szCs w:val="16"/>
            <w:lang w:val="en-US"/>
          </w:rPr>
          <w:t>https://www.aihw.gov.au/reports/indigenous-australians/closing-the-gap-targets-key-findings-implications/contents/youth-justice</w:t>
        </w:r>
      </w:hyperlink>
      <w:r w:rsidR="002E1D0F">
        <w:rPr>
          <w:rFonts w:cs="Arial"/>
          <w:sz w:val="16"/>
          <w:szCs w:val="16"/>
          <w:lang w:val="en-US"/>
        </w:rPr>
        <w:t xml:space="preserve"> </w:t>
      </w:r>
    </w:p>
  </w:endnote>
  <w:endnote w:id="6">
    <w:p w14:paraId="5A13C626" w14:textId="061CBD62" w:rsidR="005375F4" w:rsidRPr="0080312B" w:rsidRDefault="005375F4">
      <w:pPr>
        <w:pStyle w:val="EndnoteText"/>
        <w:contextualSpacing/>
        <w:rPr>
          <w:rFonts w:cs="Arial"/>
          <w:sz w:val="16"/>
          <w:szCs w:val="16"/>
          <w:lang w:val="en-US"/>
        </w:rPr>
      </w:pPr>
      <w:r>
        <w:rPr>
          <w:rStyle w:val="EndnoteReference"/>
        </w:rPr>
        <w:endnoteRef/>
      </w:r>
      <w:r>
        <w:t xml:space="preserve"> </w:t>
      </w:r>
      <w:r w:rsidR="002E1D0F" w:rsidRPr="00656AE8">
        <w:rPr>
          <w:rFonts w:cs="Arial"/>
          <w:sz w:val="16"/>
          <w:szCs w:val="16"/>
          <w:lang w:val="en-US"/>
        </w:rPr>
        <w:t>Australian Government Australian Institute of Health and Welfare</w:t>
      </w:r>
      <w:r w:rsidR="002E1D0F">
        <w:rPr>
          <w:rFonts w:cs="Arial"/>
          <w:sz w:val="16"/>
          <w:szCs w:val="16"/>
          <w:lang w:val="en-US"/>
        </w:rPr>
        <w:t xml:space="preserve"> (AIHW)</w:t>
      </w:r>
      <w:r w:rsidR="002E1D0F" w:rsidRPr="00656AE8">
        <w:rPr>
          <w:rFonts w:cs="Arial"/>
          <w:sz w:val="16"/>
          <w:szCs w:val="16"/>
          <w:lang w:val="en-US"/>
        </w:rPr>
        <w:t xml:space="preserve"> (2025). ‘Youth justice’. </w:t>
      </w:r>
      <w:r w:rsidR="002E1D0F" w:rsidRPr="00656AE8">
        <w:rPr>
          <w:rFonts w:cs="Arial"/>
          <w:i/>
          <w:iCs/>
          <w:sz w:val="16"/>
          <w:szCs w:val="16"/>
          <w:lang w:val="en-US"/>
        </w:rPr>
        <w:t>Closing the Gap targets: key findings and implications</w:t>
      </w:r>
      <w:r w:rsidR="002E1D0F" w:rsidRPr="00656AE8">
        <w:rPr>
          <w:rFonts w:cs="Arial"/>
          <w:sz w:val="16"/>
          <w:szCs w:val="16"/>
          <w:lang w:val="en-US"/>
        </w:rPr>
        <w:t xml:space="preserve">, </w:t>
      </w:r>
      <w:hyperlink r:id="rId6" w:history="1">
        <w:r w:rsidR="002E1D0F" w:rsidRPr="00261B98">
          <w:rPr>
            <w:rStyle w:val="Hyperlink"/>
            <w:rFonts w:cs="Arial"/>
            <w:sz w:val="16"/>
            <w:szCs w:val="16"/>
            <w:lang w:val="en-US"/>
          </w:rPr>
          <w:t>https://www.aihw.gov.au/reports/indigenous-australians/closing-the-gap-targets-key-findings-implications/contents/youth-justice</w:t>
        </w:r>
      </w:hyperlink>
    </w:p>
  </w:endnote>
  <w:endnote w:id="7">
    <w:p w14:paraId="7FF18681" w14:textId="3C47236F" w:rsidR="005A2271" w:rsidRPr="00656AE8" w:rsidRDefault="005A2271" w:rsidP="00250BDE">
      <w:pPr>
        <w:pStyle w:val="EndnoteText"/>
        <w:contextualSpacing/>
        <w:rPr>
          <w:rFonts w:cs="Arial"/>
          <w:i/>
          <w:iCs/>
          <w:sz w:val="16"/>
          <w:szCs w:val="16"/>
          <w:lang w:val="en-US"/>
        </w:rPr>
      </w:pPr>
      <w:r w:rsidRPr="00656AE8">
        <w:rPr>
          <w:rStyle w:val="EndnoteReference"/>
          <w:rFonts w:cs="Arial"/>
          <w:sz w:val="16"/>
          <w:szCs w:val="16"/>
        </w:rPr>
        <w:endnoteRef/>
      </w:r>
      <w:r w:rsidRPr="00656AE8">
        <w:rPr>
          <w:rFonts w:cs="Arial"/>
          <w:sz w:val="16"/>
          <w:szCs w:val="16"/>
        </w:rPr>
        <w:t xml:space="preserve"> Johnston, E. (1991). ‘30.2 Diversion From The Court System’. </w:t>
      </w:r>
      <w:r w:rsidRPr="00656AE8">
        <w:rPr>
          <w:rFonts w:cs="Arial"/>
          <w:i/>
          <w:iCs/>
          <w:sz w:val="16"/>
          <w:szCs w:val="16"/>
        </w:rPr>
        <w:t>Royal Commission into Aboriginal Deaths in Custody: National Report,</w:t>
      </w:r>
      <w:r w:rsidRPr="00656AE8">
        <w:rPr>
          <w:rFonts w:cs="Arial"/>
          <w:sz w:val="16"/>
          <w:szCs w:val="16"/>
        </w:rPr>
        <w:t xml:space="preserve"> Vol. 4, </w:t>
      </w:r>
      <w:hyperlink r:id="rId7" w:history="1">
        <w:r w:rsidRPr="00656AE8">
          <w:rPr>
            <w:rStyle w:val="Hyperlink"/>
            <w:rFonts w:cs="Arial"/>
            <w:sz w:val="16"/>
            <w:szCs w:val="16"/>
          </w:rPr>
          <w:t>https://www.austlii.edu.au/au/other/IndigLRes/rciadic/national/vol4/76.html</w:t>
        </w:r>
      </w:hyperlink>
      <w:r w:rsidRPr="00656AE8">
        <w:rPr>
          <w:rFonts w:cs="Arial"/>
          <w:sz w:val="16"/>
          <w:szCs w:val="16"/>
        </w:rPr>
        <w:t xml:space="preserve"> </w:t>
      </w:r>
    </w:p>
  </w:endnote>
  <w:endnote w:id="8">
    <w:p w14:paraId="1F5D4B8A" w14:textId="46390409" w:rsidR="005A2271" w:rsidRPr="00656AE8" w:rsidRDefault="005A2271"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McDonald, A., McAlister, M. and Bricknell, S. (2026). </w:t>
      </w:r>
      <w:r w:rsidRPr="00656AE8">
        <w:rPr>
          <w:rFonts w:cs="Arial"/>
          <w:i/>
          <w:iCs/>
          <w:sz w:val="16"/>
          <w:szCs w:val="16"/>
        </w:rPr>
        <w:t>Bail and remand across Australia</w:t>
      </w:r>
      <w:r w:rsidRPr="00656AE8">
        <w:rPr>
          <w:rFonts w:cs="Arial"/>
          <w:sz w:val="16"/>
          <w:szCs w:val="16"/>
        </w:rPr>
        <w:t xml:space="preserve">. Australian Government Australian Institute of Criminology, </w:t>
      </w:r>
      <w:hyperlink r:id="rId8" w:history="1">
        <w:r w:rsidRPr="00656AE8">
          <w:rPr>
            <w:rStyle w:val="Hyperlink"/>
            <w:rFonts w:cs="Arial"/>
            <w:sz w:val="16"/>
            <w:szCs w:val="16"/>
          </w:rPr>
          <w:t>https://www.aic.gov.au/sites/default/files/2026-02/ijc_bail_and_remand_across_australia.pdf</w:t>
        </w:r>
      </w:hyperlink>
      <w:r w:rsidRPr="00656AE8">
        <w:rPr>
          <w:rFonts w:cs="Arial"/>
          <w:sz w:val="16"/>
          <w:szCs w:val="16"/>
        </w:rPr>
        <w:t xml:space="preserve"> </w:t>
      </w:r>
    </w:p>
  </w:endnote>
  <w:endnote w:id="9">
    <w:p w14:paraId="3814E9B0" w14:textId="77777777" w:rsidR="006B254C" w:rsidRPr="00656AE8" w:rsidRDefault="006B254C"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Australian Institute of Family Studies (2020). </w:t>
      </w:r>
      <w:r w:rsidRPr="00656AE8">
        <w:rPr>
          <w:rFonts w:cs="Arial"/>
          <w:i/>
          <w:iCs/>
          <w:sz w:val="16"/>
          <w:szCs w:val="16"/>
        </w:rPr>
        <w:t>Child protection and Aboriginal and Torres Strait Islander children</w:t>
      </w:r>
      <w:r w:rsidRPr="00656AE8">
        <w:rPr>
          <w:rFonts w:cs="Arial"/>
          <w:sz w:val="16"/>
          <w:szCs w:val="16"/>
        </w:rPr>
        <w:t xml:space="preserve">, </w:t>
      </w:r>
      <w:hyperlink r:id="rId9" w:history="1">
        <w:r w:rsidRPr="00656AE8">
          <w:rPr>
            <w:rStyle w:val="Hyperlink"/>
            <w:rFonts w:cs="Arial"/>
            <w:sz w:val="16"/>
            <w:szCs w:val="16"/>
          </w:rPr>
          <w:t>https://aifs.gov.au/resources/policy-and-practice-papers/child-protection-and-aboriginal-and-torres-strait-islander</w:t>
        </w:r>
      </w:hyperlink>
      <w:r w:rsidRPr="00656AE8">
        <w:rPr>
          <w:rFonts w:cs="Arial"/>
          <w:sz w:val="16"/>
          <w:szCs w:val="16"/>
        </w:rPr>
        <w:t xml:space="preserve"> </w:t>
      </w:r>
    </w:p>
  </w:endnote>
  <w:endnote w:id="10">
    <w:p w14:paraId="1555D2F1" w14:textId="77777777" w:rsidR="006B254C" w:rsidRPr="00656AE8" w:rsidRDefault="006B254C"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Australian Government Productivity Commission (2024). </w:t>
      </w:r>
      <w:r w:rsidRPr="00656AE8">
        <w:rPr>
          <w:rFonts w:cs="Arial"/>
          <w:i/>
          <w:iCs/>
          <w:sz w:val="16"/>
          <w:szCs w:val="16"/>
        </w:rPr>
        <w:t>Review of the National Agreement on Closing the Gap: Study Report: Supporting Paper,</w:t>
      </w:r>
      <w:r w:rsidRPr="00656AE8">
        <w:rPr>
          <w:rFonts w:cs="Arial"/>
          <w:sz w:val="16"/>
          <w:szCs w:val="16"/>
        </w:rPr>
        <w:t xml:space="preserve"> </w:t>
      </w:r>
      <w:hyperlink r:id="rId10" w:history="1">
        <w:r w:rsidRPr="00656AE8">
          <w:rPr>
            <w:rStyle w:val="Hyperlink"/>
            <w:rFonts w:cs="Arial"/>
            <w:sz w:val="16"/>
            <w:szCs w:val="16"/>
          </w:rPr>
          <w:t>https://www.pc.gov.au/inquiries/completed/closing-the-gap-review/report</w:t>
        </w:r>
      </w:hyperlink>
    </w:p>
  </w:endnote>
  <w:endnote w:id="11">
    <w:p w14:paraId="188A1E67" w14:textId="77777777" w:rsidR="006B254C" w:rsidRPr="00656AE8" w:rsidRDefault="006B254C"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Australian Government Productivity Commission (2024). </w:t>
      </w:r>
      <w:r w:rsidRPr="00656AE8">
        <w:rPr>
          <w:rFonts w:cs="Arial"/>
          <w:i/>
          <w:iCs/>
          <w:sz w:val="16"/>
          <w:szCs w:val="16"/>
        </w:rPr>
        <w:t xml:space="preserve">Review of the National Agreement on Closing the Gap: Study Report: Supporting Paper, </w:t>
      </w:r>
      <w:hyperlink r:id="rId11" w:history="1">
        <w:r w:rsidRPr="00656AE8">
          <w:rPr>
            <w:rStyle w:val="Hyperlink"/>
            <w:rFonts w:cs="Arial"/>
            <w:sz w:val="16"/>
            <w:szCs w:val="16"/>
          </w:rPr>
          <w:t>https://www.pc.gov.au/inquiries/completed/closing-the-gap-review/report</w:t>
        </w:r>
      </w:hyperlink>
    </w:p>
  </w:endnote>
  <w:endnote w:id="12">
    <w:p w14:paraId="21A0F5BB" w14:textId="4749EBAD" w:rsidR="002F5F54" w:rsidRPr="00DA2847" w:rsidRDefault="002F5F54">
      <w:pPr>
        <w:pStyle w:val="EndnoteText"/>
        <w:rPr>
          <w:lang w:val="en-US"/>
        </w:rPr>
      </w:pPr>
      <w:r>
        <w:rPr>
          <w:rStyle w:val="EndnoteReference"/>
        </w:rPr>
        <w:endnoteRef/>
      </w:r>
      <w:r>
        <w:t xml:space="preserve"> </w:t>
      </w:r>
      <w:r w:rsidR="001A139A" w:rsidRPr="00245EBE">
        <w:rPr>
          <w:sz w:val="16"/>
          <w:szCs w:val="16"/>
        </w:rPr>
        <w:t xml:space="preserve">Yoorrook Justice Commission (2023). </w:t>
      </w:r>
      <w:r w:rsidR="001A139A" w:rsidRPr="00245EBE">
        <w:rPr>
          <w:i/>
          <w:iCs/>
          <w:sz w:val="16"/>
          <w:szCs w:val="16"/>
        </w:rPr>
        <w:t>Yoorrook for Justice: Report into Victoria’s Child Protection and Criminal Justice Systems</w:t>
      </w:r>
      <w:r w:rsidR="001A139A" w:rsidRPr="00245EBE">
        <w:rPr>
          <w:sz w:val="16"/>
          <w:szCs w:val="16"/>
        </w:rPr>
        <w:t xml:space="preserve">, </w:t>
      </w:r>
      <w:hyperlink r:id="rId12" w:history="1">
        <w:r w:rsidR="001A139A" w:rsidRPr="00245EBE">
          <w:rPr>
            <w:rStyle w:val="Hyperlink"/>
            <w:sz w:val="16"/>
            <w:szCs w:val="16"/>
          </w:rPr>
          <w:t>https://cdn.craft.cloud/06ad3276-b3d9-4912-bcbb-37795aade9a8/assets/documents/Yoorrook-for-justice-report.pdf</w:t>
        </w:r>
      </w:hyperlink>
    </w:p>
  </w:endnote>
  <w:endnote w:id="13">
    <w:p w14:paraId="5DA2CAC4" w14:textId="32BCBD79" w:rsidR="008E099B" w:rsidRPr="00DA2847" w:rsidRDefault="008E099B">
      <w:pPr>
        <w:pStyle w:val="EndnoteText"/>
        <w:rPr>
          <w:sz w:val="16"/>
          <w:szCs w:val="16"/>
          <w:lang w:val="en-US"/>
        </w:rPr>
      </w:pPr>
      <w:r w:rsidRPr="00DA2847">
        <w:rPr>
          <w:rStyle w:val="EndnoteReference"/>
          <w:sz w:val="16"/>
          <w:szCs w:val="16"/>
        </w:rPr>
        <w:endnoteRef/>
      </w:r>
      <w:r w:rsidRPr="00DA2847">
        <w:rPr>
          <w:sz w:val="16"/>
          <w:szCs w:val="16"/>
        </w:rPr>
        <w:t xml:space="preserve"> </w:t>
      </w:r>
      <w:r w:rsidR="006F07D0" w:rsidRPr="00DA2847">
        <w:rPr>
          <w:sz w:val="16"/>
          <w:szCs w:val="16"/>
        </w:rPr>
        <w:t xml:space="preserve">Australian Human Rights Commission (2024). </w:t>
      </w:r>
      <w:r w:rsidR="006F07D0" w:rsidDel="00573C87">
        <w:rPr>
          <w:sz w:val="16"/>
          <w:szCs w:val="16"/>
        </w:rPr>
        <w:t>‘</w:t>
      </w:r>
      <w:r w:rsidR="006F07D0" w:rsidRPr="00BA3ABD">
        <w:rPr>
          <w:i/>
          <w:sz w:val="16"/>
          <w:szCs w:val="16"/>
        </w:rPr>
        <w:t>Help way earlier!’: How Australia can transform child justice to improve safety and wellbeing</w:t>
      </w:r>
      <w:r w:rsidR="00D036D0">
        <w:rPr>
          <w:sz w:val="16"/>
          <w:szCs w:val="16"/>
        </w:rPr>
        <w:t xml:space="preserve">, </w:t>
      </w:r>
      <w:hyperlink r:id="rId13" w:history="1">
        <w:r w:rsidR="00D036D0" w:rsidRPr="00B7163E">
          <w:rPr>
            <w:rStyle w:val="Hyperlink"/>
            <w:sz w:val="16"/>
            <w:szCs w:val="16"/>
          </w:rPr>
          <w:t>https://humanrights.gov.au/__data/assets/pdf_file/0025/25477/1807_help_way_earlier_-_accessible_0-1-2.pdf</w:t>
        </w:r>
      </w:hyperlink>
      <w:r w:rsidR="00D036D0">
        <w:rPr>
          <w:sz w:val="16"/>
          <w:szCs w:val="16"/>
        </w:rPr>
        <w:t xml:space="preserve"> </w:t>
      </w:r>
    </w:p>
  </w:endnote>
  <w:endnote w:id="14">
    <w:p w14:paraId="70186EC9" w14:textId="77777777" w:rsidR="0043196F" w:rsidRPr="00390975" w:rsidRDefault="0043196F" w:rsidP="0043196F">
      <w:pPr>
        <w:pStyle w:val="EndnoteText"/>
        <w:rPr>
          <w:rFonts w:cs="Open Sans"/>
        </w:rPr>
      </w:pPr>
      <w:r w:rsidRPr="00A65286">
        <w:rPr>
          <w:rStyle w:val="EndnoteReference"/>
          <w:rFonts w:cs="Open Sans"/>
          <w:sz w:val="16"/>
          <w:szCs w:val="16"/>
        </w:rPr>
        <w:endnoteRef/>
      </w:r>
      <w:r w:rsidRPr="00A65286">
        <w:rPr>
          <w:rFonts w:cs="Open Sans"/>
          <w:sz w:val="16"/>
          <w:szCs w:val="16"/>
        </w:rPr>
        <w:t xml:space="preserve"> </w:t>
      </w:r>
      <w:r w:rsidRPr="00A65286">
        <w:rPr>
          <w:rFonts w:cs="Open Sans"/>
          <w:sz w:val="16"/>
          <w:szCs w:val="16"/>
          <w:shd w:val="clear" w:color="auto" w:fill="E6E6E6"/>
        </w:rPr>
        <w:fldChar w:fldCharType="begin"/>
      </w:r>
      <w:r w:rsidRPr="00A65286">
        <w:rPr>
          <w:rFonts w:cs="Open Sans"/>
          <w:sz w:val="16"/>
          <w:szCs w:val="16"/>
        </w:rPr>
        <w:instrText xml:space="preserve"> ADDIN ZOTERO_ITEM CSL_CITATION {"citationID":"p1sShQWY","properties":{"formattedCitation":"UN Human Rights Council, {\\i{}Report of the Special Rapporteur on the Rights of Indigenous Peoples on Her Visit to Australia}, UN Doc A/HRC/36/46/Add.2 (8 August 2017).","plainCitation":"UN Human Rights Council, Report of the Special Rapporteur on the Rights of Indigenous Peoples on Her Visit to Australia, UN Doc A/HRC/36/46/Add.2 (8 August 2017).","dontUpdate":true,"noteIndex":214},"citationItems":[{"id":1067,"uris":["http://zotero.org/groups/1703699/items/AR2F67YV"],"uri":["http://zotero.org/groups/1703699/items/AR2F67YV"],"itemData":{"id":1067,"type":"bill","title":"UN Human Rights Council, &lt;i&gt;Report of the Special Rapporteur on the rights of indigenous peoples on her visit to Australia&lt;/i&gt;, UN Doc A/HRC/36/46/Add.2 (8 August 2017)"}}],"schema":"https://github.com/citation-style-language/schema/raw/master/csl-citation.json"} </w:instrText>
      </w:r>
      <w:r w:rsidRPr="00A65286">
        <w:rPr>
          <w:rFonts w:cs="Open Sans"/>
          <w:sz w:val="16"/>
          <w:szCs w:val="16"/>
          <w:shd w:val="clear" w:color="auto" w:fill="E6E6E6"/>
        </w:rPr>
        <w:fldChar w:fldCharType="separate"/>
      </w:r>
      <w:r w:rsidRPr="00A65286">
        <w:rPr>
          <w:rFonts w:cs="Open Sans"/>
          <w:sz w:val="16"/>
          <w:szCs w:val="16"/>
        </w:rPr>
        <w:t>UN Human Rights Council</w:t>
      </w:r>
      <w:r>
        <w:rPr>
          <w:rFonts w:cs="Open Sans"/>
          <w:sz w:val="16"/>
          <w:szCs w:val="16"/>
        </w:rPr>
        <w:t xml:space="preserve"> (2017).</w:t>
      </w:r>
      <w:r w:rsidRPr="00A65286">
        <w:rPr>
          <w:rFonts w:cs="Open Sans"/>
          <w:sz w:val="16"/>
          <w:szCs w:val="16"/>
        </w:rPr>
        <w:t xml:space="preserve"> </w:t>
      </w:r>
      <w:r w:rsidRPr="00A65286">
        <w:rPr>
          <w:rFonts w:cs="Open Sans"/>
          <w:i/>
          <w:iCs/>
          <w:sz w:val="16"/>
          <w:szCs w:val="16"/>
        </w:rPr>
        <w:t>Report of the Special Rapporteur on the Rights of Indigenous Peoples on her visit to Australia</w:t>
      </w:r>
      <w:r w:rsidRPr="00A65286">
        <w:rPr>
          <w:rFonts w:cs="Open Sans"/>
          <w:sz w:val="16"/>
          <w:szCs w:val="16"/>
        </w:rPr>
        <w:t>, UN Doc A/HRC/36/46/Add.2</w:t>
      </w:r>
      <w:r>
        <w:rPr>
          <w:rFonts w:cs="Open Sans"/>
          <w:sz w:val="16"/>
          <w:szCs w:val="16"/>
        </w:rPr>
        <w:t>,</w:t>
      </w:r>
      <w:r w:rsidRPr="00A65286">
        <w:rPr>
          <w:rFonts w:cs="Open Sans"/>
          <w:sz w:val="16"/>
          <w:szCs w:val="16"/>
        </w:rPr>
        <w:t xml:space="preserve"> </w:t>
      </w:r>
      <w:hyperlink r:id="rId14" w:history="1">
        <w:r w:rsidRPr="00A65286">
          <w:rPr>
            <w:rStyle w:val="Hyperlink"/>
            <w:rFonts w:cs="Open Sans"/>
            <w:sz w:val="16"/>
            <w:szCs w:val="16"/>
          </w:rPr>
          <w:t>https://digitallibrary.un.org/record/1303201?ln=en</w:t>
        </w:r>
      </w:hyperlink>
      <w:r w:rsidRPr="00A65286">
        <w:rPr>
          <w:rFonts w:cs="Open Sans"/>
          <w:sz w:val="16"/>
          <w:szCs w:val="16"/>
          <w:shd w:val="clear" w:color="auto" w:fill="E6E6E6"/>
        </w:rPr>
        <w:fldChar w:fldCharType="end"/>
      </w:r>
    </w:p>
  </w:endnote>
  <w:endnote w:id="15">
    <w:p w14:paraId="05BD0766" w14:textId="77777777" w:rsidR="006B254C" w:rsidRPr="00656AE8" w:rsidRDefault="006B254C"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Australian Institute of Health and Welfare (AIHW) (2025). </w:t>
      </w:r>
      <w:r w:rsidRPr="00656AE8">
        <w:rPr>
          <w:rFonts w:cs="Arial"/>
          <w:i/>
          <w:iCs/>
          <w:sz w:val="16"/>
          <w:szCs w:val="16"/>
        </w:rPr>
        <w:t>Closing the Gap targets: key findings and implications</w:t>
      </w:r>
      <w:r w:rsidRPr="00656AE8">
        <w:rPr>
          <w:rFonts w:cs="Arial"/>
          <w:sz w:val="16"/>
          <w:szCs w:val="16"/>
        </w:rPr>
        <w:t xml:space="preserve">, </w:t>
      </w:r>
      <w:hyperlink r:id="rId15" w:history="1">
        <w:r w:rsidRPr="00656AE8">
          <w:rPr>
            <w:rStyle w:val="Hyperlink"/>
            <w:rFonts w:cs="Arial"/>
            <w:sz w:val="16"/>
            <w:szCs w:val="16"/>
          </w:rPr>
          <w:t>https://www.aihw.gov.au/reports/indigenous-australians/closing-the-gap-targets-key-findings-implications/contents/youth-justice</w:t>
        </w:r>
      </w:hyperlink>
      <w:r w:rsidRPr="00656AE8">
        <w:rPr>
          <w:rFonts w:cs="Arial"/>
          <w:sz w:val="16"/>
          <w:szCs w:val="16"/>
        </w:rPr>
        <w:t xml:space="preserve"> </w:t>
      </w:r>
    </w:p>
  </w:endnote>
  <w:endnote w:id="16">
    <w:p w14:paraId="3FD18D73" w14:textId="77777777" w:rsidR="006B254C" w:rsidRPr="00656AE8" w:rsidRDefault="006B254C"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Orygen, The National Centre of Excellence in Youth Mental Health (2018). </w:t>
      </w:r>
      <w:r w:rsidRPr="00656AE8">
        <w:rPr>
          <w:rFonts w:cs="Arial"/>
          <w:i/>
          <w:iCs/>
          <w:sz w:val="16"/>
          <w:szCs w:val="16"/>
        </w:rPr>
        <w:t>Aboriginal and Torres Strait Islander young people and mental ill-health</w:t>
      </w:r>
      <w:r w:rsidRPr="00656AE8">
        <w:rPr>
          <w:rFonts w:cs="Arial"/>
          <w:sz w:val="16"/>
          <w:szCs w:val="16"/>
        </w:rPr>
        <w:t xml:space="preserve">, </w:t>
      </w:r>
      <w:hyperlink r:id="rId16" w:history="1">
        <w:r w:rsidRPr="00656AE8">
          <w:rPr>
            <w:rStyle w:val="Hyperlink"/>
            <w:rFonts w:cs="Arial"/>
            <w:sz w:val="16"/>
            <w:szCs w:val="16"/>
          </w:rPr>
          <w:t>https://www.orygen.org.au/Orygen-Institute/Policy-Areas/Population-groups/Aboriginal-and-Torres-Strait-Islander-young-people/Orygen-Aboriginal-torres-strait-islander-policy-br?ext</w:t>
        </w:r>
      </w:hyperlink>
      <w:r w:rsidRPr="00656AE8">
        <w:rPr>
          <w:rFonts w:cs="Arial"/>
          <w:sz w:val="16"/>
          <w:szCs w:val="16"/>
        </w:rPr>
        <w:t xml:space="preserve"> </w:t>
      </w:r>
    </w:p>
  </w:endnote>
  <w:endnote w:id="17">
    <w:p w14:paraId="652C53DC" w14:textId="77777777" w:rsidR="006B254C" w:rsidRPr="00656AE8" w:rsidRDefault="006B254C"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AIHW (2025). </w:t>
      </w:r>
      <w:r w:rsidRPr="00656AE8">
        <w:rPr>
          <w:rFonts w:cs="Arial"/>
          <w:i/>
          <w:iCs/>
          <w:sz w:val="16"/>
          <w:szCs w:val="16"/>
        </w:rPr>
        <w:t>Improving mental health outcomes for Indigenous Australians in the criminal justice system</w:t>
      </w:r>
      <w:r w:rsidRPr="00656AE8">
        <w:rPr>
          <w:rFonts w:cs="Arial"/>
          <w:sz w:val="16"/>
          <w:szCs w:val="16"/>
        </w:rPr>
        <w:t xml:space="preserve">, </w:t>
      </w:r>
      <w:hyperlink r:id="rId17" w:history="1">
        <w:r w:rsidRPr="00656AE8">
          <w:rPr>
            <w:rStyle w:val="Hyperlink"/>
            <w:rFonts w:cs="Arial"/>
            <w:sz w:val="16"/>
            <w:szCs w:val="16"/>
          </w:rPr>
          <w:t>https://www.indigenousmhspc.gov.au/getattachment/15fbcd00-30f1-4170-acd3-206c3b884a61/aihw-2021-criminal-justice-system-20210804.pdf?v=1746</w:t>
        </w:r>
      </w:hyperlink>
      <w:r w:rsidRPr="00656AE8">
        <w:rPr>
          <w:rFonts w:cs="Arial"/>
          <w:sz w:val="16"/>
          <w:szCs w:val="16"/>
        </w:rPr>
        <w:t xml:space="preserve"> ; Government of South Australia Department for Child Protection (2024). </w:t>
      </w:r>
      <w:r w:rsidRPr="00656AE8">
        <w:rPr>
          <w:rFonts w:cs="Arial"/>
          <w:i/>
          <w:iCs/>
          <w:sz w:val="16"/>
          <w:szCs w:val="16"/>
        </w:rPr>
        <w:t>Residential Care: Supporting children and young people who are at risk of self-harm and suicide Procedure</w:t>
      </w:r>
      <w:r w:rsidRPr="00656AE8">
        <w:rPr>
          <w:rFonts w:cs="Arial"/>
          <w:sz w:val="16"/>
          <w:szCs w:val="16"/>
        </w:rPr>
        <w:t xml:space="preserve">, </w:t>
      </w:r>
      <w:hyperlink r:id="rId18" w:history="1">
        <w:r w:rsidRPr="00656AE8">
          <w:rPr>
            <w:rStyle w:val="Hyperlink"/>
            <w:rFonts w:cs="Arial"/>
            <w:sz w:val="16"/>
            <w:szCs w:val="16"/>
          </w:rPr>
          <w:t>https://www.childprotection.sa.gov.au/research-and-publications/freedom-information/policy-documents/linked/res-care-supporting-cyp-at-risk-of-selfharm-and-suicide-procedure.pdf</w:t>
        </w:r>
      </w:hyperlink>
      <w:r w:rsidRPr="00656AE8">
        <w:rPr>
          <w:rFonts w:cs="Arial"/>
          <w:sz w:val="16"/>
          <w:szCs w:val="16"/>
        </w:rPr>
        <w:t xml:space="preserve"> </w:t>
      </w:r>
    </w:p>
  </w:endnote>
  <w:endnote w:id="18">
    <w:p w14:paraId="709A0C04" w14:textId="77777777" w:rsidR="006B254C" w:rsidRPr="00656AE8" w:rsidRDefault="006B254C" w:rsidP="00250BDE">
      <w:pPr>
        <w:spacing w:after="0" w:line="240" w:lineRule="auto"/>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AIHW (2025). </w:t>
      </w:r>
      <w:r w:rsidRPr="00656AE8">
        <w:rPr>
          <w:rFonts w:cs="Arial"/>
          <w:i/>
          <w:iCs/>
          <w:sz w:val="16"/>
          <w:szCs w:val="16"/>
        </w:rPr>
        <w:t>First Nations people – Suicide and self-harm monitoring</w:t>
      </w:r>
      <w:r w:rsidRPr="00656AE8">
        <w:rPr>
          <w:rFonts w:cs="Arial"/>
          <w:sz w:val="16"/>
          <w:szCs w:val="16"/>
        </w:rPr>
        <w:t xml:space="preserve">, </w:t>
      </w:r>
      <w:hyperlink r:id="rId19" w:history="1">
        <w:r w:rsidRPr="00656AE8">
          <w:rPr>
            <w:rStyle w:val="Hyperlink"/>
            <w:rFonts w:cs="Arial"/>
            <w:sz w:val="16"/>
            <w:szCs w:val="16"/>
          </w:rPr>
          <w:t>https://www.aihw.gov.au/suicide-self-harm-monitoring/population-groups/first-nations-people</w:t>
        </w:r>
      </w:hyperlink>
    </w:p>
  </w:endnote>
  <w:endnote w:id="19">
    <w:p w14:paraId="7E455172" w14:textId="1FDD59DD"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Shay, M. (2024). ‘Aboriginal children as young as 5 are getting suspended from school. We can’t ‘close the gap’ if this is happening’. </w:t>
      </w:r>
      <w:r w:rsidRPr="00656AE8">
        <w:rPr>
          <w:rFonts w:cs="Arial"/>
          <w:i/>
          <w:iCs/>
          <w:sz w:val="16"/>
          <w:szCs w:val="16"/>
          <w:lang w:val="en-US"/>
        </w:rPr>
        <w:t>The Conversation</w:t>
      </w:r>
      <w:r w:rsidRPr="00656AE8">
        <w:rPr>
          <w:rFonts w:cs="Arial"/>
          <w:sz w:val="16"/>
          <w:szCs w:val="16"/>
          <w:lang w:val="en-US"/>
        </w:rPr>
        <w:t xml:space="preserve">, 12 August, </w:t>
      </w:r>
      <w:hyperlink r:id="rId20" w:history="1">
        <w:r w:rsidRPr="00656AE8">
          <w:rPr>
            <w:rStyle w:val="Hyperlink"/>
            <w:rFonts w:cs="Arial"/>
            <w:sz w:val="16"/>
            <w:szCs w:val="16"/>
            <w:lang w:val="en-US"/>
          </w:rPr>
          <w:t>https://theconversation.com/aboriginal-children-as-young-as-5-are-getting-suspended-from-school-we-cant-close-the-gap-if-this-is-happening-235889</w:t>
        </w:r>
      </w:hyperlink>
      <w:r w:rsidRPr="00656AE8">
        <w:rPr>
          <w:rFonts w:cs="Arial"/>
          <w:sz w:val="16"/>
          <w:szCs w:val="16"/>
          <w:lang w:val="en-US"/>
        </w:rPr>
        <w:t xml:space="preserve"> </w:t>
      </w:r>
    </w:p>
  </w:endnote>
  <w:endnote w:id="20">
    <w:p w14:paraId="65CFED0E" w14:textId="26D01A65"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Hand, S. (2025). ‘Discipline or disadvantage? Why school exclusion in NSW needs rethinking’. </w:t>
      </w:r>
      <w:r w:rsidRPr="00656AE8">
        <w:rPr>
          <w:rFonts w:cs="Arial"/>
          <w:i/>
          <w:iCs/>
          <w:sz w:val="16"/>
          <w:szCs w:val="16"/>
          <w:lang w:val="en-US"/>
        </w:rPr>
        <w:t>Newsroom</w:t>
      </w:r>
      <w:r w:rsidRPr="00656AE8">
        <w:rPr>
          <w:rFonts w:cs="Arial"/>
          <w:sz w:val="16"/>
          <w:szCs w:val="16"/>
          <w:lang w:val="en-US"/>
        </w:rPr>
        <w:t xml:space="preserve">, University of New South Wales, </w:t>
      </w:r>
      <w:hyperlink r:id="rId21" w:anchor=":~:text=The%20evidence%20is%20clear%3A%20exclusion,and%20invests%20in%20their%20futures" w:history="1">
        <w:r w:rsidRPr="00656AE8">
          <w:rPr>
            <w:rStyle w:val="Hyperlink"/>
            <w:rFonts w:cs="Arial"/>
            <w:sz w:val="16"/>
            <w:szCs w:val="16"/>
            <w:lang w:val="en-US"/>
          </w:rPr>
          <w:t>https://www.unsw.edu.au/newsroom/news/2025/10/discipline-disadvantage-school-exclusion-nsw-needs-rethinking#:~:text=The%20evidence%20is%20clear%3A%20exclusion,and%20invests%20in%20their%20futures</w:t>
        </w:r>
      </w:hyperlink>
      <w:r w:rsidRPr="00656AE8">
        <w:rPr>
          <w:rFonts w:cs="Arial"/>
          <w:sz w:val="16"/>
          <w:szCs w:val="16"/>
          <w:lang w:val="en-US"/>
        </w:rPr>
        <w:t xml:space="preserve">. </w:t>
      </w:r>
    </w:p>
  </w:endnote>
  <w:endnote w:id="21">
    <w:p w14:paraId="14F80D51" w14:textId="58CC5E16"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Shay, M. (2024). ‘Aboriginal children as young as 5 are getting suspended from school. We can’t ‘close the gap’ if this is happening’. </w:t>
      </w:r>
      <w:r w:rsidRPr="00656AE8">
        <w:rPr>
          <w:rFonts w:cs="Arial"/>
          <w:i/>
          <w:iCs/>
          <w:sz w:val="16"/>
          <w:szCs w:val="16"/>
          <w:lang w:val="en-US"/>
        </w:rPr>
        <w:t>The Conversation</w:t>
      </w:r>
      <w:r w:rsidRPr="00656AE8">
        <w:rPr>
          <w:rFonts w:cs="Arial"/>
          <w:sz w:val="16"/>
          <w:szCs w:val="16"/>
          <w:lang w:val="en-US"/>
        </w:rPr>
        <w:t xml:space="preserve">, 12 August, </w:t>
      </w:r>
      <w:hyperlink r:id="rId22" w:history="1">
        <w:r w:rsidRPr="00656AE8">
          <w:rPr>
            <w:rStyle w:val="Hyperlink"/>
            <w:rFonts w:cs="Arial"/>
            <w:sz w:val="16"/>
            <w:szCs w:val="16"/>
            <w:lang w:val="en-US"/>
          </w:rPr>
          <w:t>https://theconversation.com/aboriginal-children-as-young-as-5-are-getting-suspended-from-school-we-cant-close-the-gap-if-this-is-happening-235889</w:t>
        </w:r>
      </w:hyperlink>
    </w:p>
  </w:endnote>
  <w:endnote w:id="22">
    <w:p w14:paraId="2E9A6B36" w14:textId="53223C6C" w:rsidR="001A57F6" w:rsidRPr="00DA2847" w:rsidRDefault="001A57F6">
      <w:pPr>
        <w:pStyle w:val="EndnoteText"/>
        <w:rPr>
          <w:sz w:val="16"/>
          <w:szCs w:val="16"/>
          <w:lang w:val="en-US"/>
        </w:rPr>
      </w:pPr>
      <w:r w:rsidRPr="00DA2847">
        <w:rPr>
          <w:rStyle w:val="EndnoteReference"/>
          <w:sz w:val="16"/>
          <w:szCs w:val="16"/>
        </w:rPr>
        <w:endnoteRef/>
      </w:r>
      <w:r w:rsidRPr="00DA2847">
        <w:rPr>
          <w:sz w:val="16"/>
          <w:szCs w:val="16"/>
        </w:rPr>
        <w:t xml:space="preserve"> </w:t>
      </w:r>
      <w:r w:rsidR="00A52FBE" w:rsidRPr="00DA2847">
        <w:rPr>
          <w:sz w:val="16"/>
          <w:szCs w:val="16"/>
        </w:rPr>
        <w:t xml:space="preserve">O’Brien, G. (2021). Racial Profiling, Surveillance and Over-Policing: The Over-Incarceration of Young First Nations Males in Australia. Social Sciences, 10(2), 68. </w:t>
      </w:r>
      <w:hyperlink r:id="rId23" w:history="1">
        <w:r w:rsidR="00A52FBE" w:rsidRPr="00DA2847">
          <w:rPr>
            <w:rStyle w:val="Hyperlink"/>
            <w:sz w:val="16"/>
            <w:szCs w:val="16"/>
          </w:rPr>
          <w:t>https://doi.org/10.3390/socsci10020068</w:t>
        </w:r>
      </w:hyperlink>
    </w:p>
  </w:endnote>
  <w:endnote w:id="23">
    <w:p w14:paraId="4E693728" w14:textId="114AB6DF" w:rsidR="009963A3" w:rsidRPr="00DA2847" w:rsidRDefault="009963A3">
      <w:pPr>
        <w:pStyle w:val="EndnoteText"/>
        <w:rPr>
          <w:sz w:val="16"/>
          <w:szCs w:val="16"/>
          <w:lang w:val="en-US"/>
        </w:rPr>
      </w:pPr>
      <w:r w:rsidRPr="00DA2847">
        <w:rPr>
          <w:rStyle w:val="EndnoteReference"/>
          <w:sz w:val="16"/>
          <w:szCs w:val="16"/>
        </w:rPr>
        <w:endnoteRef/>
      </w:r>
      <w:r w:rsidRPr="00DA2847">
        <w:rPr>
          <w:sz w:val="16"/>
          <w:szCs w:val="16"/>
        </w:rPr>
        <w:t xml:space="preserve"> Englezos, Elizabeth, Policing by algorithm: NSW Police's Suspect Target Management Plan (January 01, 2023). Available at SSRN: </w:t>
      </w:r>
      <w:hyperlink r:id="rId24" w:tgtFrame="_blank" w:history="1">
        <w:r w:rsidRPr="00DA2847">
          <w:rPr>
            <w:rStyle w:val="Hyperlink"/>
            <w:sz w:val="16"/>
            <w:szCs w:val="16"/>
          </w:rPr>
          <w:t>https://ssrn.com/abstract=5035436</w:t>
        </w:r>
      </w:hyperlink>
      <w:r w:rsidRPr="00DA2847">
        <w:rPr>
          <w:sz w:val="16"/>
          <w:szCs w:val="16"/>
        </w:rPr>
        <w:t> or </w:t>
      </w:r>
      <w:hyperlink r:id="rId25" w:tgtFrame="_blank" w:history="1">
        <w:r w:rsidRPr="00DA2847">
          <w:rPr>
            <w:rStyle w:val="Hyperlink"/>
            <w:sz w:val="16"/>
            <w:szCs w:val="16"/>
          </w:rPr>
          <w:t>http://dx.doi.org/10.2139/ssrn.5035436</w:t>
        </w:r>
      </w:hyperlink>
    </w:p>
  </w:endnote>
  <w:endnote w:id="24">
    <w:p w14:paraId="3846558A" w14:textId="79AABF82" w:rsidR="002B782B" w:rsidRPr="002B782B" w:rsidRDefault="002B782B">
      <w:pPr>
        <w:pStyle w:val="EndnoteText"/>
      </w:pPr>
      <w:r w:rsidRPr="00BA3ABD">
        <w:rPr>
          <w:rStyle w:val="EndnoteReference"/>
          <w:sz w:val="16"/>
          <w:szCs w:val="16"/>
        </w:rPr>
        <w:endnoteRef/>
      </w:r>
      <w:r w:rsidRPr="00BA3ABD">
        <w:rPr>
          <w:sz w:val="16"/>
          <w:szCs w:val="16"/>
        </w:rPr>
        <w:t xml:space="preserve"> Bogle, A. </w:t>
      </w:r>
      <w:r w:rsidR="00354D16">
        <w:rPr>
          <w:sz w:val="16"/>
          <w:szCs w:val="16"/>
        </w:rPr>
        <w:t>&amp;</w:t>
      </w:r>
      <w:r w:rsidRPr="00BA3ABD">
        <w:rPr>
          <w:sz w:val="16"/>
          <w:szCs w:val="16"/>
        </w:rPr>
        <w:t xml:space="preserve"> Collard, S. (2025). ‘NSW police’s ‘extraordinary’ search powers a ‘blank cheque’ to target Indigenous youth, lawyers say’, </w:t>
      </w:r>
      <w:r w:rsidRPr="00BA3ABD">
        <w:rPr>
          <w:i/>
          <w:sz w:val="16"/>
          <w:szCs w:val="16"/>
        </w:rPr>
        <w:t>The Guardian</w:t>
      </w:r>
      <w:r w:rsidRPr="00BA3ABD">
        <w:rPr>
          <w:sz w:val="16"/>
          <w:szCs w:val="16"/>
        </w:rPr>
        <w:t xml:space="preserve">, 19 May, </w:t>
      </w:r>
      <w:hyperlink r:id="rId26" w:history="1">
        <w:r w:rsidRPr="00BA3ABD">
          <w:rPr>
            <w:rStyle w:val="Hyperlink"/>
            <w:sz w:val="16"/>
            <w:szCs w:val="16"/>
          </w:rPr>
          <w:t>https://www.theguardian.com/australia-news/2025/may/19/nsw-police-extraordinary-search-powers-a-blank-cheque-to-target-indigenous-youth-lawyers-say-ntwnfb</w:t>
        </w:r>
      </w:hyperlink>
      <w:r>
        <w:rPr>
          <w:sz w:val="16"/>
          <w:szCs w:val="16"/>
        </w:rPr>
        <w:t xml:space="preserve"> </w:t>
      </w:r>
    </w:p>
  </w:endnote>
  <w:endnote w:id="25">
    <w:p w14:paraId="36099019" w14:textId="6C2AEF5A" w:rsidR="00920210" w:rsidRPr="00DA2847" w:rsidRDefault="00920210">
      <w:pPr>
        <w:pStyle w:val="EndnoteText"/>
        <w:rPr>
          <w:sz w:val="16"/>
          <w:szCs w:val="16"/>
          <w:lang w:val="en-US"/>
        </w:rPr>
      </w:pPr>
      <w:r w:rsidRPr="00DA2847">
        <w:rPr>
          <w:rStyle w:val="EndnoteReference"/>
          <w:sz w:val="16"/>
          <w:szCs w:val="16"/>
        </w:rPr>
        <w:endnoteRef/>
      </w:r>
      <w:r w:rsidRPr="00DA2847">
        <w:rPr>
          <w:sz w:val="16"/>
          <w:szCs w:val="16"/>
        </w:rPr>
        <w:t xml:space="preserve"> </w:t>
      </w:r>
      <w:r w:rsidRPr="00DA2847">
        <w:rPr>
          <w:sz w:val="16"/>
          <w:szCs w:val="16"/>
          <w:lang w:val="en-US"/>
        </w:rPr>
        <w:t>O’</w:t>
      </w:r>
      <w:r w:rsidR="004459E4">
        <w:rPr>
          <w:sz w:val="16"/>
          <w:szCs w:val="16"/>
          <w:lang w:val="en-US"/>
        </w:rPr>
        <w:t>B</w:t>
      </w:r>
      <w:r w:rsidRPr="00DA2847">
        <w:rPr>
          <w:sz w:val="16"/>
          <w:szCs w:val="16"/>
          <w:lang w:val="en-US"/>
        </w:rPr>
        <w:t>rien, G. (2021)</w:t>
      </w:r>
      <w:r w:rsidR="00253089">
        <w:rPr>
          <w:sz w:val="16"/>
          <w:szCs w:val="16"/>
          <w:lang w:val="en-US"/>
        </w:rPr>
        <w:t xml:space="preserve">. </w:t>
      </w:r>
      <w:r w:rsidR="00253089" w:rsidRPr="00DA2847">
        <w:rPr>
          <w:sz w:val="16"/>
          <w:szCs w:val="16"/>
        </w:rPr>
        <w:t xml:space="preserve">Racial Profiling, Surveillance and Over-Policing: The Over-Incarceration of Young First Nations Males in Australia. Social Sciences, 10(2), 68. </w:t>
      </w:r>
      <w:hyperlink r:id="rId27" w:history="1">
        <w:r w:rsidR="00253089" w:rsidRPr="00DA2847">
          <w:rPr>
            <w:rStyle w:val="Hyperlink"/>
            <w:sz w:val="16"/>
            <w:szCs w:val="16"/>
          </w:rPr>
          <w:t>https://doi.org/10.3390/socsci10020068</w:t>
        </w:r>
      </w:hyperlink>
    </w:p>
  </w:endnote>
  <w:endnote w:id="26">
    <w:p w14:paraId="36510214" w14:textId="53B5EE7B" w:rsidR="00E62D96" w:rsidRPr="00DA2847" w:rsidRDefault="00E62D96">
      <w:pPr>
        <w:pStyle w:val="EndnoteText"/>
        <w:rPr>
          <w:sz w:val="16"/>
          <w:szCs w:val="16"/>
          <w:lang w:val="en-US"/>
        </w:rPr>
      </w:pPr>
      <w:r w:rsidRPr="00DA2847">
        <w:rPr>
          <w:rStyle w:val="EndnoteReference"/>
          <w:sz w:val="16"/>
          <w:szCs w:val="16"/>
        </w:rPr>
        <w:endnoteRef/>
      </w:r>
      <w:r w:rsidRPr="00DA2847">
        <w:rPr>
          <w:sz w:val="16"/>
          <w:szCs w:val="16"/>
        </w:rPr>
        <w:t xml:space="preserve"> Walter, M., Kukutai, T., Carroll, S.R., &amp; Rodriguez-Lonebear, D. (Eds.). (2020). Indigenous Data Sovereignty and Policy (1st ed.). Routledge. https://doi.org/10.4324/9780429273957</w:t>
      </w:r>
    </w:p>
  </w:endnote>
  <w:endnote w:id="27">
    <w:p w14:paraId="01B554F3" w14:textId="5B9F0D80" w:rsidR="00B83502" w:rsidRPr="00BA3ABD" w:rsidRDefault="00B83502">
      <w:pPr>
        <w:pStyle w:val="EndnoteText"/>
        <w:rPr>
          <w:b/>
        </w:rPr>
      </w:pPr>
      <w:r w:rsidRPr="00BA3ABD">
        <w:rPr>
          <w:rStyle w:val="EndnoteReference"/>
          <w:sz w:val="16"/>
          <w:szCs w:val="16"/>
        </w:rPr>
        <w:endnoteRef/>
      </w:r>
      <w:r w:rsidRPr="00BA3ABD">
        <w:rPr>
          <w:sz w:val="16"/>
          <w:szCs w:val="16"/>
        </w:rPr>
        <w:t xml:space="preserve"> </w:t>
      </w:r>
      <w:r w:rsidR="00041973" w:rsidRPr="00BA3ABD">
        <w:rPr>
          <w:sz w:val="16"/>
          <w:szCs w:val="16"/>
        </w:rPr>
        <w:t>AIHW (202</w:t>
      </w:r>
      <w:r w:rsidR="00516689" w:rsidRPr="00BA3ABD">
        <w:rPr>
          <w:sz w:val="16"/>
          <w:szCs w:val="16"/>
        </w:rPr>
        <w:t>3</w:t>
      </w:r>
      <w:r w:rsidR="00041973" w:rsidRPr="00BA3ABD">
        <w:rPr>
          <w:sz w:val="16"/>
          <w:szCs w:val="16"/>
        </w:rPr>
        <w:t xml:space="preserve">). </w:t>
      </w:r>
      <w:r w:rsidR="00F74449" w:rsidRPr="00BA3ABD">
        <w:rPr>
          <w:sz w:val="16"/>
          <w:szCs w:val="16"/>
        </w:rPr>
        <w:t xml:space="preserve">‘First Nations young people in detention’, </w:t>
      </w:r>
      <w:r w:rsidR="00516689" w:rsidRPr="00BA3ABD">
        <w:rPr>
          <w:i/>
          <w:sz w:val="16"/>
          <w:szCs w:val="16"/>
        </w:rPr>
        <w:t>Youth detention population in Australia 2023</w:t>
      </w:r>
      <w:r w:rsidR="00F74449" w:rsidRPr="00BA3ABD">
        <w:rPr>
          <w:sz w:val="16"/>
          <w:szCs w:val="16"/>
        </w:rPr>
        <w:t xml:space="preserve">, </w:t>
      </w:r>
      <w:hyperlink r:id="rId28" w:history="1">
        <w:r w:rsidR="006C6DB1" w:rsidRPr="00BA3ABD">
          <w:rPr>
            <w:rStyle w:val="Hyperlink"/>
            <w:sz w:val="16"/>
            <w:szCs w:val="16"/>
          </w:rPr>
          <w:t>https://www.aihw.gov.au/reports/youth-justice/youth-detention-population-in-australia-2023/contents/first-nations-young-people</w:t>
        </w:r>
      </w:hyperlink>
      <w:r w:rsidR="006C6DB1" w:rsidRPr="00BA3ABD">
        <w:rPr>
          <w:sz w:val="16"/>
          <w:szCs w:val="16"/>
        </w:rPr>
        <w:t xml:space="preserve"> </w:t>
      </w:r>
    </w:p>
  </w:endnote>
  <w:endnote w:id="28">
    <w:p w14:paraId="31DFD837" w14:textId="25C401CD" w:rsidR="00B03120" w:rsidRPr="00BA3ABD" w:rsidRDefault="00B03120">
      <w:pPr>
        <w:pStyle w:val="EndnoteText"/>
        <w:rPr>
          <w:lang w:val="en-US"/>
        </w:rPr>
      </w:pPr>
      <w:r w:rsidRPr="00BA3ABD">
        <w:rPr>
          <w:rStyle w:val="EndnoteReference"/>
          <w:sz w:val="16"/>
          <w:szCs w:val="16"/>
        </w:rPr>
        <w:endnoteRef/>
      </w:r>
      <w:r w:rsidRPr="00BA3ABD">
        <w:rPr>
          <w:sz w:val="16"/>
          <w:szCs w:val="16"/>
        </w:rPr>
        <w:t xml:space="preserve"> Australian Law Reform Commission (2017). </w:t>
      </w:r>
      <w:r w:rsidRPr="00BA3ABD">
        <w:rPr>
          <w:i/>
          <w:sz w:val="16"/>
          <w:szCs w:val="16"/>
        </w:rPr>
        <w:t>Pathways to Justice</w:t>
      </w:r>
      <w:r w:rsidR="00DF4AA9" w:rsidRPr="00BA3ABD">
        <w:rPr>
          <w:sz w:val="16"/>
          <w:szCs w:val="16"/>
        </w:rPr>
        <w:t xml:space="preserve"> </w:t>
      </w:r>
      <w:r w:rsidR="00DF4AA9" w:rsidRPr="00BA3ABD">
        <w:rPr>
          <w:i/>
          <w:sz w:val="16"/>
          <w:szCs w:val="16"/>
        </w:rPr>
        <w:t xml:space="preserve">—Inquiry into the Incarceration Rate of Aboriginal and Torres Strait Islander Peoples, </w:t>
      </w:r>
      <w:r w:rsidR="00DF4AA9" w:rsidRPr="00BA3ABD">
        <w:rPr>
          <w:sz w:val="16"/>
          <w:szCs w:val="16"/>
        </w:rPr>
        <w:t xml:space="preserve">Final Report No 133, </w:t>
      </w:r>
      <w:hyperlink r:id="rId29" w:history="1">
        <w:r w:rsidR="00B52950" w:rsidRPr="00BA3ABD">
          <w:rPr>
            <w:rStyle w:val="Hyperlink"/>
            <w:sz w:val="16"/>
            <w:szCs w:val="16"/>
          </w:rPr>
          <w:t>https://www.alrc.gov.au/news/report-pathways-to-justice-incarceration-rate-of-aboriginal-and-torres-strait-islander-peoples/</w:t>
        </w:r>
      </w:hyperlink>
      <w:r w:rsidR="00B52950" w:rsidRPr="00BA3ABD">
        <w:rPr>
          <w:sz w:val="16"/>
          <w:szCs w:val="16"/>
        </w:rPr>
        <w:t xml:space="preserve"> </w:t>
      </w:r>
    </w:p>
  </w:endnote>
  <w:endnote w:id="29">
    <w:p w14:paraId="2F728221" w14:textId="77777777" w:rsidR="00F2277B" w:rsidRPr="00A65286" w:rsidRDefault="00F2277B" w:rsidP="00F2277B">
      <w:pPr>
        <w:pStyle w:val="EndnoteText"/>
        <w:rPr>
          <w:lang w:val="en-US"/>
        </w:rPr>
      </w:pPr>
      <w:r w:rsidRPr="00A65286">
        <w:rPr>
          <w:rStyle w:val="EndnoteReference"/>
          <w:sz w:val="16"/>
          <w:szCs w:val="16"/>
        </w:rPr>
        <w:endnoteRef/>
      </w:r>
      <w:r w:rsidRPr="00A65286">
        <w:rPr>
          <w:sz w:val="16"/>
          <w:szCs w:val="16"/>
        </w:rPr>
        <w:t xml:space="preserve"> Australian Human Rights Commission (2020). </w:t>
      </w:r>
      <w:r w:rsidRPr="00A65286">
        <w:rPr>
          <w:i/>
          <w:iCs/>
          <w:sz w:val="16"/>
          <w:szCs w:val="16"/>
        </w:rPr>
        <w:t>Wiyi Yani U Thangani (Women’s Voices): Securing Our Rights, Securing Our Future Report</w:t>
      </w:r>
      <w:r w:rsidRPr="00A65286">
        <w:rPr>
          <w:sz w:val="16"/>
          <w:szCs w:val="16"/>
        </w:rPr>
        <w:t xml:space="preserve">, </w:t>
      </w:r>
      <w:hyperlink r:id="rId30" w:history="1">
        <w:r w:rsidRPr="00A65286">
          <w:rPr>
            <w:rStyle w:val="Hyperlink"/>
            <w:sz w:val="16"/>
            <w:szCs w:val="16"/>
          </w:rPr>
          <w:t>https://humanrights.gov.au/resource-hub/human-rights/wiyi-yani-u-thangani</w:t>
        </w:r>
      </w:hyperlink>
      <w:r w:rsidRPr="00A65286">
        <w:rPr>
          <w:sz w:val="16"/>
          <w:szCs w:val="16"/>
        </w:rPr>
        <w:t xml:space="preserve"> </w:t>
      </w:r>
    </w:p>
  </w:endnote>
  <w:endnote w:id="30">
    <w:p w14:paraId="6BE5DFDB" w14:textId="6A83B546" w:rsidR="00671EBA" w:rsidRPr="00BA3ABD" w:rsidRDefault="00671EBA">
      <w:pPr>
        <w:pStyle w:val="EndnoteText"/>
        <w:rPr>
          <w:lang w:val="en-US"/>
        </w:rPr>
      </w:pPr>
      <w:r>
        <w:rPr>
          <w:rStyle w:val="EndnoteReference"/>
        </w:rPr>
        <w:endnoteRef/>
      </w:r>
      <w:r>
        <w:t xml:space="preserve"> </w:t>
      </w:r>
      <w:r w:rsidRPr="00A65286">
        <w:rPr>
          <w:sz w:val="16"/>
          <w:szCs w:val="16"/>
        </w:rPr>
        <w:t xml:space="preserve">Australian Human Rights Commission (2020). </w:t>
      </w:r>
      <w:r w:rsidRPr="00A65286">
        <w:rPr>
          <w:i/>
          <w:iCs/>
          <w:sz w:val="16"/>
          <w:szCs w:val="16"/>
        </w:rPr>
        <w:t>Wiyi Yani U Thangani (Women’s Voices): Securing Our Rights, Securing Our Future Report</w:t>
      </w:r>
      <w:r w:rsidRPr="00A65286">
        <w:rPr>
          <w:sz w:val="16"/>
          <w:szCs w:val="16"/>
        </w:rPr>
        <w:t xml:space="preserve">, </w:t>
      </w:r>
      <w:hyperlink r:id="rId31" w:history="1">
        <w:r w:rsidRPr="00A65286">
          <w:rPr>
            <w:rStyle w:val="Hyperlink"/>
            <w:sz w:val="16"/>
            <w:szCs w:val="16"/>
          </w:rPr>
          <w:t>https://humanrights.gov.au/resource-hub/human-rights/wiyi-yani-u-thangani</w:t>
        </w:r>
      </w:hyperlink>
    </w:p>
  </w:endnote>
  <w:endnote w:id="31">
    <w:p w14:paraId="0D13B594" w14:textId="77777777" w:rsidR="00520AF0" w:rsidRPr="00A65286" w:rsidRDefault="00520AF0" w:rsidP="00520AF0">
      <w:pPr>
        <w:pStyle w:val="EndnoteText"/>
        <w:rPr>
          <w:lang w:val="en-US"/>
        </w:rPr>
      </w:pPr>
      <w:r w:rsidRPr="00A65286">
        <w:rPr>
          <w:rStyle w:val="EndnoteReference"/>
          <w:sz w:val="16"/>
          <w:szCs w:val="16"/>
        </w:rPr>
        <w:endnoteRef/>
      </w:r>
      <w:r w:rsidRPr="00A65286">
        <w:rPr>
          <w:sz w:val="16"/>
          <w:szCs w:val="16"/>
        </w:rPr>
        <w:t xml:space="preserve"> Royal Commission into Violence, Abuse, Neglect and Exploitation of People with Disability (2023). </w:t>
      </w:r>
      <w:r w:rsidRPr="00A65286">
        <w:rPr>
          <w:i/>
          <w:iCs/>
          <w:sz w:val="16"/>
          <w:szCs w:val="16"/>
        </w:rPr>
        <w:t>Final Report</w:t>
      </w:r>
      <w:r w:rsidRPr="00A65286">
        <w:rPr>
          <w:sz w:val="16"/>
          <w:szCs w:val="16"/>
        </w:rPr>
        <w:t xml:space="preserve">, Vol. 8, Criminal justice and people with disability, </w:t>
      </w:r>
      <w:hyperlink r:id="rId32" w:history="1">
        <w:r w:rsidRPr="00A65286">
          <w:rPr>
            <w:rStyle w:val="Hyperlink"/>
            <w:sz w:val="16"/>
            <w:szCs w:val="16"/>
          </w:rPr>
          <w:t>https://disability.royalcommission.gov.au/publications/final-report-complete-volume-formats</w:t>
        </w:r>
      </w:hyperlink>
      <w:r w:rsidRPr="00A65286">
        <w:rPr>
          <w:sz w:val="16"/>
          <w:szCs w:val="16"/>
        </w:rPr>
        <w:t xml:space="preserve"> </w:t>
      </w:r>
    </w:p>
  </w:endnote>
  <w:endnote w:id="32">
    <w:p w14:paraId="2C66C461" w14:textId="5EB281E1" w:rsidR="00573C87" w:rsidRPr="00BA3ABD" w:rsidRDefault="00573C87">
      <w:pPr>
        <w:pStyle w:val="EndnoteText"/>
        <w:rPr>
          <w:lang w:val="en-US"/>
        </w:rPr>
      </w:pPr>
      <w:r>
        <w:rPr>
          <w:rStyle w:val="EndnoteReference"/>
        </w:rPr>
        <w:endnoteRef/>
      </w:r>
      <w:r>
        <w:t xml:space="preserve"> </w:t>
      </w:r>
      <w:r w:rsidR="00D036D0" w:rsidRPr="00DA2847">
        <w:rPr>
          <w:sz w:val="16"/>
          <w:szCs w:val="16"/>
        </w:rPr>
        <w:t xml:space="preserve">Australian Human Rights Commission (2024). </w:t>
      </w:r>
      <w:r w:rsidR="00D036D0">
        <w:rPr>
          <w:sz w:val="16"/>
          <w:szCs w:val="16"/>
        </w:rPr>
        <w:t>‘</w:t>
      </w:r>
      <w:r w:rsidR="00D036D0" w:rsidRPr="00A65286">
        <w:rPr>
          <w:i/>
          <w:iCs/>
          <w:sz w:val="16"/>
          <w:szCs w:val="16"/>
        </w:rPr>
        <w:t>Help way earlier!’: How Australia can transform child justice to improve safety and wellbeing</w:t>
      </w:r>
      <w:r w:rsidR="00D036D0">
        <w:rPr>
          <w:sz w:val="16"/>
          <w:szCs w:val="16"/>
        </w:rPr>
        <w:t xml:space="preserve">, </w:t>
      </w:r>
      <w:hyperlink r:id="rId33" w:history="1">
        <w:r w:rsidR="00D036D0" w:rsidRPr="00B7163E">
          <w:rPr>
            <w:rStyle w:val="Hyperlink"/>
            <w:sz w:val="16"/>
            <w:szCs w:val="16"/>
          </w:rPr>
          <w:t>https://humanrights.gov.au/__data/assets/pdf_file/0025/25477/1807_help_way_earlier_-_accessible_0-1-2.pdf</w:t>
        </w:r>
      </w:hyperlink>
      <w:r w:rsidR="00D036D0">
        <w:rPr>
          <w:sz w:val="16"/>
          <w:szCs w:val="16"/>
        </w:rPr>
        <w:t xml:space="preserve"> </w:t>
      </w:r>
    </w:p>
  </w:endnote>
  <w:endnote w:id="33">
    <w:p w14:paraId="5DFB945F" w14:textId="497B84E3" w:rsidR="009D3B6E" w:rsidRPr="00BA3ABD" w:rsidRDefault="009D3B6E" w:rsidP="009D3B6E">
      <w:pPr>
        <w:pStyle w:val="EndnoteText"/>
        <w:rPr>
          <w:sz w:val="16"/>
          <w:szCs w:val="16"/>
          <w:lang w:val="en-US"/>
        </w:rPr>
      </w:pPr>
      <w:r w:rsidRPr="00BA3ABD">
        <w:rPr>
          <w:rStyle w:val="EndnoteReference"/>
          <w:sz w:val="16"/>
          <w:szCs w:val="16"/>
        </w:rPr>
        <w:endnoteRef/>
      </w:r>
      <w:r w:rsidRPr="00BA3ABD">
        <w:rPr>
          <w:sz w:val="16"/>
          <w:szCs w:val="16"/>
        </w:rPr>
        <w:t xml:space="preserve"> </w:t>
      </w:r>
      <w:r w:rsidR="00CB0E97" w:rsidRPr="00BA3ABD">
        <w:rPr>
          <w:sz w:val="16"/>
          <w:szCs w:val="16"/>
        </w:rPr>
        <w:t xml:space="preserve">Liddelow-Hunt, S., Uink, B., Daglas, K., Hill, J.H.L., Hayward, L., Stretton, N., Perry, Y., Hill, B., &amp; Lin, A. (2023). </w:t>
      </w:r>
      <w:r w:rsidR="00CB0E97" w:rsidRPr="00BA3ABD">
        <w:rPr>
          <w:i/>
          <w:sz w:val="16"/>
          <w:szCs w:val="16"/>
        </w:rPr>
        <w:t>Walkern Katatdjin (Rainbow Knowledge) Phase 2 National Survey Community Report</w:t>
      </w:r>
      <w:r w:rsidR="00CB0E97" w:rsidRPr="00BA3ABD">
        <w:rPr>
          <w:sz w:val="16"/>
          <w:szCs w:val="16"/>
        </w:rPr>
        <w:t xml:space="preserve">, </w:t>
      </w:r>
      <w:hyperlink r:id="rId34" w:history="1">
        <w:r w:rsidR="00CB0E97" w:rsidRPr="00BA3ABD">
          <w:rPr>
            <w:rStyle w:val="Hyperlink"/>
            <w:sz w:val="16"/>
            <w:szCs w:val="16"/>
          </w:rPr>
          <w:t>https://www.rainbowknowledge.org/phase-2-results</w:t>
        </w:r>
      </w:hyperlink>
      <w:r w:rsidR="00CB0E97" w:rsidRPr="00BA3ABD">
        <w:rPr>
          <w:sz w:val="16"/>
          <w:szCs w:val="16"/>
        </w:rPr>
        <w:t xml:space="preserve"> </w:t>
      </w:r>
    </w:p>
  </w:endnote>
  <w:endnote w:id="34">
    <w:p w14:paraId="267CB73B" w14:textId="6216A0F5" w:rsidR="00F2606E" w:rsidRPr="00BA3ABD" w:rsidRDefault="00F2606E">
      <w:pPr>
        <w:pStyle w:val="EndnoteText"/>
        <w:rPr>
          <w:lang w:val="en-US"/>
        </w:rPr>
      </w:pPr>
      <w:r w:rsidRPr="00BA3ABD">
        <w:rPr>
          <w:rStyle w:val="EndnoteReference"/>
          <w:sz w:val="16"/>
          <w:szCs w:val="16"/>
        </w:rPr>
        <w:endnoteRef/>
      </w:r>
      <w:r w:rsidRPr="00BA3ABD">
        <w:rPr>
          <w:sz w:val="16"/>
          <w:szCs w:val="16"/>
        </w:rPr>
        <w:t xml:space="preserve"> </w:t>
      </w:r>
      <w:r w:rsidR="00814DA9" w:rsidRPr="00A65286">
        <w:rPr>
          <w:sz w:val="16"/>
          <w:szCs w:val="16"/>
        </w:rPr>
        <w:t xml:space="preserve">Liddelow-Hunt, S., Uink, B., Daglas, K., Hill, J.H.L., Hayward, L., Stretton, N., Perry, Y., Hill, B., &amp; Lin, A. (2023). </w:t>
      </w:r>
      <w:r w:rsidR="00814DA9" w:rsidRPr="00A65286">
        <w:rPr>
          <w:i/>
          <w:iCs/>
          <w:sz w:val="16"/>
          <w:szCs w:val="16"/>
        </w:rPr>
        <w:t>Walkern Katatdjin (Rainbow Knowledge) Phase 2 National Survey Community Report</w:t>
      </w:r>
      <w:r w:rsidR="00814DA9" w:rsidRPr="00A65286">
        <w:rPr>
          <w:sz w:val="16"/>
          <w:szCs w:val="16"/>
        </w:rPr>
        <w:t xml:space="preserve">, </w:t>
      </w:r>
      <w:hyperlink r:id="rId35" w:history="1">
        <w:r w:rsidR="00814DA9" w:rsidRPr="00A65286">
          <w:rPr>
            <w:rStyle w:val="Hyperlink"/>
            <w:sz w:val="16"/>
            <w:szCs w:val="16"/>
          </w:rPr>
          <w:t>https://www.rainbowknowledge.org/phase-2-results</w:t>
        </w:r>
      </w:hyperlink>
    </w:p>
  </w:endnote>
  <w:endnote w:id="35">
    <w:p w14:paraId="1F5908C3" w14:textId="308DEC2A" w:rsidR="009E262E" w:rsidRPr="00DA2847" w:rsidRDefault="0014070D">
      <w:pPr>
        <w:pStyle w:val="EndnoteText"/>
        <w:rPr>
          <w:lang w:val="en-US"/>
        </w:rPr>
      </w:pPr>
      <w:r w:rsidRPr="00DA2847">
        <w:rPr>
          <w:rStyle w:val="EndnoteReference"/>
          <w:sz w:val="16"/>
          <w:szCs w:val="16"/>
        </w:rPr>
        <w:endnoteRef/>
      </w:r>
      <w:r w:rsidRPr="00DA2847">
        <w:rPr>
          <w:sz w:val="16"/>
          <w:szCs w:val="16"/>
        </w:rPr>
        <w:t xml:space="preserve"> </w:t>
      </w:r>
      <w:r w:rsidR="009E262E" w:rsidRPr="00DA2847">
        <w:rPr>
          <w:sz w:val="16"/>
          <w:szCs w:val="16"/>
          <w:lang w:val="en-US"/>
        </w:rPr>
        <w:t>Royal Commission into Institutional Responses to Child Sexual Abuse</w:t>
      </w:r>
      <w:r w:rsidR="004D6B7F" w:rsidRPr="00DA2847">
        <w:rPr>
          <w:sz w:val="16"/>
          <w:szCs w:val="16"/>
          <w:lang w:val="en-US"/>
        </w:rPr>
        <w:t xml:space="preserve"> (2017). </w:t>
      </w:r>
      <w:r w:rsidR="00B73E7C" w:rsidRPr="00DA2847">
        <w:rPr>
          <w:i/>
          <w:iCs/>
          <w:sz w:val="16"/>
          <w:szCs w:val="16"/>
          <w:lang w:val="en-US"/>
        </w:rPr>
        <w:t>Final Report</w:t>
      </w:r>
      <w:r w:rsidR="00B73E7C" w:rsidRPr="00DA2847">
        <w:rPr>
          <w:sz w:val="16"/>
          <w:szCs w:val="16"/>
          <w:lang w:val="en-US"/>
        </w:rPr>
        <w:t xml:space="preserve">, </w:t>
      </w:r>
      <w:r w:rsidR="000B4DA2" w:rsidRPr="00DA2847">
        <w:rPr>
          <w:sz w:val="16"/>
          <w:szCs w:val="16"/>
          <w:lang w:val="en-US"/>
        </w:rPr>
        <w:t>Vol</w:t>
      </w:r>
      <w:r w:rsidR="0072680A">
        <w:rPr>
          <w:sz w:val="16"/>
          <w:szCs w:val="16"/>
          <w:lang w:val="en-US"/>
        </w:rPr>
        <w:t>.</w:t>
      </w:r>
      <w:r w:rsidR="000B4DA2" w:rsidRPr="00DA2847">
        <w:rPr>
          <w:sz w:val="16"/>
          <w:szCs w:val="16"/>
          <w:lang w:val="en-US"/>
        </w:rPr>
        <w:t xml:space="preserve"> 12, Contemporary out-of-home care</w:t>
      </w:r>
      <w:r w:rsidR="00B73E7C" w:rsidRPr="00DA2847">
        <w:rPr>
          <w:sz w:val="16"/>
          <w:szCs w:val="16"/>
          <w:lang w:val="en-US"/>
        </w:rPr>
        <w:t xml:space="preserve">, </w:t>
      </w:r>
      <w:hyperlink r:id="rId36" w:history="1">
        <w:r w:rsidR="008A1931" w:rsidRPr="00DA2847">
          <w:rPr>
            <w:rStyle w:val="Hyperlink"/>
            <w:sz w:val="16"/>
            <w:szCs w:val="16"/>
            <w:lang w:val="en-US"/>
          </w:rPr>
          <w:t>https://www.childabuseroyalcommission.gov.au/contemporary-out-home-care</w:t>
        </w:r>
      </w:hyperlink>
      <w:r w:rsidR="008A1931" w:rsidRPr="00DA2847">
        <w:rPr>
          <w:sz w:val="16"/>
          <w:szCs w:val="16"/>
          <w:lang w:val="en-US"/>
        </w:rPr>
        <w:t xml:space="preserve"> </w:t>
      </w:r>
    </w:p>
  </w:endnote>
  <w:endnote w:id="36">
    <w:p w14:paraId="17F46AD7" w14:textId="38FAC91A" w:rsidR="002808F0" w:rsidRPr="00DA2847" w:rsidRDefault="002808F0">
      <w:pPr>
        <w:pStyle w:val="EndnoteText"/>
        <w:rPr>
          <w:lang w:val="en-US"/>
        </w:rPr>
      </w:pPr>
      <w:r w:rsidRPr="00DA2847">
        <w:rPr>
          <w:rStyle w:val="EndnoteReference"/>
          <w:sz w:val="16"/>
          <w:szCs w:val="16"/>
        </w:rPr>
        <w:endnoteRef/>
      </w:r>
      <w:r w:rsidRPr="00DA2847">
        <w:rPr>
          <w:sz w:val="16"/>
          <w:szCs w:val="16"/>
        </w:rPr>
        <w:t xml:space="preserve"> Yoorrook Justice Commission (2023). </w:t>
      </w:r>
      <w:r w:rsidRPr="00DA2847">
        <w:rPr>
          <w:i/>
          <w:iCs/>
          <w:sz w:val="16"/>
          <w:szCs w:val="16"/>
        </w:rPr>
        <w:t>Yoorrook for Justice: Report into Victoria’s Child Protection and Criminal Justice Systems</w:t>
      </w:r>
      <w:r w:rsidR="006100BF" w:rsidRPr="00DA2847">
        <w:rPr>
          <w:sz w:val="16"/>
          <w:szCs w:val="16"/>
        </w:rPr>
        <w:t xml:space="preserve">, </w:t>
      </w:r>
      <w:hyperlink r:id="rId37" w:history="1">
        <w:r w:rsidR="006100BF" w:rsidRPr="00DA2847">
          <w:rPr>
            <w:rStyle w:val="Hyperlink"/>
            <w:sz w:val="16"/>
            <w:szCs w:val="16"/>
          </w:rPr>
          <w:t>https://cdn.craft.cloud/06ad3276-b3d9-4912-bcbb-37795aade9a8/assets/documents/Yoorrook-for-justice-report.pdf</w:t>
        </w:r>
      </w:hyperlink>
      <w:r w:rsidR="006100BF" w:rsidRPr="00DA2847">
        <w:rPr>
          <w:sz w:val="16"/>
          <w:szCs w:val="16"/>
        </w:rPr>
        <w:t xml:space="preserve"> </w:t>
      </w:r>
    </w:p>
  </w:endnote>
  <w:endnote w:id="37">
    <w:p w14:paraId="0A639E60" w14:textId="3791534F" w:rsidR="002E3910" w:rsidRPr="00DA2847" w:rsidRDefault="000E0C36">
      <w:pPr>
        <w:pStyle w:val="EndnoteText"/>
        <w:contextualSpacing/>
        <w:rPr>
          <w:rFonts w:cs="Arial"/>
          <w:sz w:val="16"/>
          <w:szCs w:val="16"/>
        </w:rPr>
      </w:pPr>
      <w:r>
        <w:rPr>
          <w:rStyle w:val="EndnoteReference"/>
        </w:rPr>
        <w:endnoteRef/>
      </w:r>
      <w:r>
        <w:t xml:space="preserve"> </w:t>
      </w:r>
      <w:r w:rsidRPr="00656AE8">
        <w:rPr>
          <w:rFonts w:cs="Arial"/>
          <w:sz w:val="16"/>
          <w:szCs w:val="16"/>
        </w:rPr>
        <w:t xml:space="preserve">White, M. and Gooda, M. (2017). </w:t>
      </w:r>
      <w:r w:rsidRPr="00656AE8">
        <w:rPr>
          <w:rFonts w:cs="Arial"/>
          <w:i/>
          <w:iCs/>
          <w:sz w:val="16"/>
          <w:szCs w:val="16"/>
        </w:rPr>
        <w:t>Report of the Royal Commission and Board of Inquiry into the Protection and Detention of Children in the Northern Territory</w:t>
      </w:r>
      <w:r w:rsidRPr="00656AE8">
        <w:rPr>
          <w:rFonts w:cs="Arial"/>
          <w:sz w:val="16"/>
          <w:szCs w:val="16"/>
        </w:rPr>
        <w:t xml:space="preserve">, Vol. 1, </w:t>
      </w:r>
      <w:hyperlink r:id="rId38" w:history="1">
        <w:r w:rsidRPr="00656AE8">
          <w:rPr>
            <w:rStyle w:val="Hyperlink"/>
            <w:rFonts w:cs="Arial"/>
            <w:sz w:val="16"/>
            <w:szCs w:val="16"/>
          </w:rPr>
          <w:t>https://www.royalcommission.gov.au/child-detention/final-report</w:t>
        </w:r>
      </w:hyperlink>
      <w:r w:rsidRPr="00656AE8">
        <w:rPr>
          <w:rFonts w:cs="Arial"/>
          <w:sz w:val="16"/>
          <w:szCs w:val="16"/>
        </w:rPr>
        <w:t xml:space="preserve"> </w:t>
      </w:r>
    </w:p>
  </w:endnote>
  <w:endnote w:id="38">
    <w:p w14:paraId="1A5A8E07" w14:textId="06BB1EE6" w:rsidR="0036784F" w:rsidRPr="00BA3ABD" w:rsidRDefault="0036784F">
      <w:pPr>
        <w:pStyle w:val="EndnoteText"/>
        <w:rPr>
          <w:lang w:val="en-US"/>
        </w:rPr>
      </w:pPr>
      <w:r w:rsidRPr="00BA3ABD">
        <w:rPr>
          <w:rStyle w:val="EndnoteReference"/>
          <w:sz w:val="16"/>
          <w:szCs w:val="16"/>
        </w:rPr>
        <w:endnoteRef/>
      </w:r>
      <w:r w:rsidRPr="00BA3ABD">
        <w:rPr>
          <w:sz w:val="16"/>
          <w:szCs w:val="16"/>
        </w:rPr>
        <w:t xml:space="preserve"> Anthony, T. &amp; Cubillo, E. (2025). ‘Kumanjayi Walker inquest: racism and violence, but findings too little and too late’, </w:t>
      </w:r>
      <w:r w:rsidRPr="00BA3ABD">
        <w:rPr>
          <w:i/>
          <w:sz w:val="16"/>
          <w:szCs w:val="16"/>
        </w:rPr>
        <w:t>The Conversation</w:t>
      </w:r>
      <w:r w:rsidRPr="00BA3ABD">
        <w:rPr>
          <w:sz w:val="16"/>
          <w:szCs w:val="16"/>
        </w:rPr>
        <w:t xml:space="preserve">, 7 July, </w:t>
      </w:r>
      <w:hyperlink r:id="rId39" w:history="1">
        <w:r w:rsidRPr="00BA3ABD">
          <w:rPr>
            <w:rStyle w:val="Hyperlink"/>
            <w:sz w:val="16"/>
            <w:szCs w:val="16"/>
          </w:rPr>
          <w:t>https://theconversation.com/kumanjayi-walker-inquest-racism-and-violence-but-findings-too-little-and-too-late-257636</w:t>
        </w:r>
      </w:hyperlink>
      <w:r>
        <w:rPr>
          <w:sz w:val="16"/>
          <w:szCs w:val="16"/>
        </w:rPr>
        <w:t xml:space="preserve"> </w:t>
      </w:r>
    </w:p>
  </w:endnote>
  <w:endnote w:id="39">
    <w:p w14:paraId="3BE83707" w14:textId="3A2997AD" w:rsidR="00C00C9C" w:rsidRPr="00315156" w:rsidRDefault="00C00C9C">
      <w:pPr>
        <w:pStyle w:val="EndnoteText"/>
      </w:pPr>
      <w:r w:rsidRPr="00BA3ABD">
        <w:rPr>
          <w:rStyle w:val="EndnoteReference"/>
          <w:sz w:val="16"/>
          <w:szCs w:val="16"/>
        </w:rPr>
        <w:endnoteRef/>
      </w:r>
      <w:r w:rsidRPr="00BA3ABD">
        <w:rPr>
          <w:sz w:val="16"/>
          <w:szCs w:val="16"/>
        </w:rPr>
        <w:t xml:space="preserve"> Human Rights Law Centre (2025</w:t>
      </w:r>
      <w:r w:rsidRPr="00BA3ABD">
        <w:rPr>
          <w:i/>
          <w:sz w:val="16"/>
          <w:szCs w:val="16"/>
        </w:rPr>
        <w:t>). Accountability and justice must be delivered for Kumanjayi Walker’s family</w:t>
      </w:r>
      <w:r w:rsidRPr="00BA3ABD">
        <w:rPr>
          <w:sz w:val="16"/>
          <w:szCs w:val="16"/>
        </w:rPr>
        <w:t xml:space="preserve">, 11 July, </w:t>
      </w:r>
      <w:hyperlink r:id="rId40" w:history="1">
        <w:r w:rsidRPr="00BA3ABD">
          <w:rPr>
            <w:rStyle w:val="Hyperlink"/>
            <w:sz w:val="16"/>
            <w:szCs w:val="16"/>
          </w:rPr>
          <w:t>https://www.hrlc.org.au/news/accountability-and-justice-must-be-delivered-for-kumanjayi-walkers-family/</w:t>
        </w:r>
      </w:hyperlink>
      <w:r w:rsidRPr="00BA3ABD">
        <w:rPr>
          <w:sz w:val="16"/>
          <w:szCs w:val="16"/>
        </w:rPr>
        <w:t xml:space="preserve"> </w:t>
      </w:r>
    </w:p>
  </w:endnote>
  <w:endnote w:id="40">
    <w:p w14:paraId="201E2E96" w14:textId="1DB3D21D" w:rsidR="008026F9" w:rsidRPr="008026F9" w:rsidRDefault="008026F9">
      <w:pPr>
        <w:pStyle w:val="EndnoteText"/>
      </w:pPr>
      <w:r w:rsidRPr="00BA3ABD">
        <w:rPr>
          <w:rStyle w:val="EndnoteReference"/>
          <w:sz w:val="16"/>
          <w:szCs w:val="16"/>
        </w:rPr>
        <w:endnoteRef/>
      </w:r>
      <w:r w:rsidRPr="00BA3ABD">
        <w:rPr>
          <w:sz w:val="16"/>
          <w:szCs w:val="16"/>
        </w:rPr>
        <w:t xml:space="preserve"> Lange, E. &amp; Garrick, M. (2026). ‘NT police confirm external police review into Kumanjayi White death in custody complete’, </w:t>
      </w:r>
      <w:r w:rsidRPr="00BA3ABD">
        <w:rPr>
          <w:i/>
          <w:sz w:val="16"/>
          <w:szCs w:val="16"/>
        </w:rPr>
        <w:t>ABC News</w:t>
      </w:r>
      <w:r w:rsidRPr="00BA3ABD">
        <w:rPr>
          <w:sz w:val="16"/>
          <w:szCs w:val="16"/>
        </w:rPr>
        <w:t xml:space="preserve">, 2 April, </w:t>
      </w:r>
      <w:hyperlink r:id="rId41" w:history="1">
        <w:r w:rsidRPr="00BA3ABD">
          <w:rPr>
            <w:rStyle w:val="Hyperlink"/>
            <w:sz w:val="16"/>
            <w:szCs w:val="16"/>
          </w:rPr>
          <w:t>https://www.abc.net.au/news/2026-04-02/nt-police-update-kumanjayi-white-death-in-custody-investigation/106525980</w:t>
        </w:r>
      </w:hyperlink>
      <w:r w:rsidRPr="00BA3ABD">
        <w:rPr>
          <w:sz w:val="16"/>
          <w:szCs w:val="16"/>
        </w:rPr>
        <w:t xml:space="preserve"> </w:t>
      </w:r>
    </w:p>
  </w:endnote>
  <w:endnote w:id="41">
    <w:p w14:paraId="7D72CA2F" w14:textId="06AEB75A" w:rsidR="004243BC" w:rsidRPr="00D025FB" w:rsidRDefault="004243BC">
      <w:pPr>
        <w:pStyle w:val="EndnoteText"/>
      </w:pPr>
      <w:r>
        <w:rPr>
          <w:rStyle w:val="EndnoteReference"/>
        </w:rPr>
        <w:endnoteRef/>
      </w:r>
      <w:r>
        <w:t xml:space="preserve"> </w:t>
      </w:r>
      <w:r w:rsidRPr="00A65286">
        <w:rPr>
          <w:sz w:val="16"/>
          <w:szCs w:val="16"/>
        </w:rPr>
        <w:t>Human Rights Law Centre (2025</w:t>
      </w:r>
      <w:r w:rsidRPr="00A65286">
        <w:rPr>
          <w:i/>
          <w:iCs/>
          <w:sz w:val="16"/>
          <w:szCs w:val="16"/>
        </w:rPr>
        <w:t>). Accountability and justice must be delivered for Kumanjayi Walker’s family</w:t>
      </w:r>
      <w:r w:rsidRPr="00A65286">
        <w:rPr>
          <w:sz w:val="16"/>
          <w:szCs w:val="16"/>
        </w:rPr>
        <w:t xml:space="preserve">, 11 July, </w:t>
      </w:r>
      <w:hyperlink r:id="rId42" w:history="1">
        <w:r w:rsidRPr="00A65286">
          <w:rPr>
            <w:rStyle w:val="Hyperlink"/>
            <w:sz w:val="16"/>
            <w:szCs w:val="16"/>
          </w:rPr>
          <w:t>https://www.hrlc.org.au/news/accountability-and-justice-must-be-delivered-for-kumanjayi-walkers-family/</w:t>
        </w:r>
      </w:hyperlink>
      <w:r w:rsidR="00D025FB">
        <w:rPr>
          <w:sz w:val="16"/>
          <w:szCs w:val="16"/>
        </w:rPr>
        <w:t xml:space="preserve">; </w:t>
      </w:r>
      <w:r w:rsidR="00D025FB" w:rsidRPr="00A65286">
        <w:rPr>
          <w:sz w:val="16"/>
          <w:szCs w:val="16"/>
        </w:rPr>
        <w:t xml:space="preserve">Lange, E. &amp; Garrick, M. (2026). ‘NT police confirm external police review into Kumanjayi White death in custody complete’, </w:t>
      </w:r>
      <w:r w:rsidR="00D025FB" w:rsidRPr="00A65286">
        <w:rPr>
          <w:i/>
          <w:iCs/>
          <w:sz w:val="16"/>
          <w:szCs w:val="16"/>
        </w:rPr>
        <w:t>ABC News</w:t>
      </w:r>
      <w:r w:rsidR="00D025FB" w:rsidRPr="00A65286">
        <w:rPr>
          <w:sz w:val="16"/>
          <w:szCs w:val="16"/>
        </w:rPr>
        <w:t xml:space="preserve">, 2 April, </w:t>
      </w:r>
      <w:hyperlink r:id="rId43" w:history="1">
        <w:r w:rsidR="00D025FB" w:rsidRPr="00A65286">
          <w:rPr>
            <w:rStyle w:val="Hyperlink"/>
            <w:sz w:val="16"/>
            <w:szCs w:val="16"/>
          </w:rPr>
          <w:t>https://www.abc.net.au/news/2026-04-02/nt-police-update-kumanjayi-white-death-in-custody-investigation/106525980</w:t>
        </w:r>
      </w:hyperlink>
      <w:r w:rsidR="00D025FB" w:rsidRPr="00A65286">
        <w:rPr>
          <w:sz w:val="16"/>
          <w:szCs w:val="16"/>
        </w:rPr>
        <w:t xml:space="preserve"> </w:t>
      </w:r>
    </w:p>
  </w:endnote>
  <w:endnote w:id="42">
    <w:p w14:paraId="0AB31DD1" w14:textId="07C34230" w:rsidR="00492DFF" w:rsidRPr="00BA3ABD" w:rsidRDefault="00492DFF">
      <w:pPr>
        <w:pStyle w:val="EndnoteText"/>
        <w:rPr>
          <w:lang w:val="en-US"/>
        </w:rPr>
      </w:pPr>
      <w:r w:rsidRPr="00BA3ABD">
        <w:rPr>
          <w:rStyle w:val="EndnoteReference"/>
          <w:sz w:val="16"/>
          <w:szCs w:val="16"/>
        </w:rPr>
        <w:endnoteRef/>
      </w:r>
      <w:r w:rsidRPr="00BA3ABD">
        <w:rPr>
          <w:sz w:val="16"/>
          <w:szCs w:val="16"/>
        </w:rPr>
        <w:t xml:space="preserve"> United Nations Human Rights Committee (2019). </w:t>
      </w:r>
      <w:r w:rsidRPr="00BA3ABD">
        <w:rPr>
          <w:i/>
          <w:sz w:val="16"/>
          <w:szCs w:val="16"/>
        </w:rPr>
        <w:t>General comment No. 36</w:t>
      </w:r>
      <w:r w:rsidR="00A450A9" w:rsidRPr="00BA3ABD">
        <w:rPr>
          <w:i/>
          <w:sz w:val="16"/>
          <w:szCs w:val="16"/>
        </w:rPr>
        <w:t>: Article 6: right to life,</w:t>
      </w:r>
      <w:r w:rsidRPr="00BA3ABD">
        <w:rPr>
          <w:sz w:val="16"/>
          <w:szCs w:val="16"/>
        </w:rPr>
        <w:t xml:space="preserve"> UN </w:t>
      </w:r>
      <w:r w:rsidR="00A450A9">
        <w:rPr>
          <w:sz w:val="16"/>
          <w:szCs w:val="16"/>
        </w:rPr>
        <w:t>D</w:t>
      </w:r>
      <w:r w:rsidRPr="00BA3ABD">
        <w:rPr>
          <w:sz w:val="16"/>
          <w:szCs w:val="16"/>
        </w:rPr>
        <w:t xml:space="preserve">oc CCPR/C/GC/36, </w:t>
      </w:r>
      <w:hyperlink r:id="rId44" w:history="1">
        <w:r w:rsidRPr="00BA3ABD">
          <w:rPr>
            <w:rStyle w:val="Hyperlink"/>
            <w:sz w:val="16"/>
            <w:szCs w:val="16"/>
          </w:rPr>
          <w:t>https://docs.un.org/en/CCPR/C/GC/36</w:t>
        </w:r>
      </w:hyperlink>
      <w:r w:rsidRPr="00BA3ABD">
        <w:rPr>
          <w:sz w:val="16"/>
          <w:szCs w:val="16"/>
        </w:rPr>
        <w:t xml:space="preserve"> </w:t>
      </w:r>
    </w:p>
  </w:endnote>
  <w:endnote w:id="43">
    <w:p w14:paraId="5A4E0909" w14:textId="22F612B4" w:rsidR="002E3910" w:rsidRPr="00423F2A" w:rsidRDefault="000A3DCC">
      <w:pPr>
        <w:pStyle w:val="EndnoteText"/>
      </w:pPr>
      <w:r>
        <w:rPr>
          <w:rStyle w:val="EndnoteReference"/>
        </w:rPr>
        <w:endnoteRef/>
      </w:r>
      <w:r>
        <w:t xml:space="preserve"> </w:t>
      </w:r>
      <w:r w:rsidRPr="00656AE8">
        <w:rPr>
          <w:rFonts w:cs="Arial"/>
          <w:sz w:val="16"/>
          <w:szCs w:val="16"/>
        </w:rPr>
        <w:t>Johnston, E. (1991). ‘3.</w:t>
      </w:r>
      <w:r w:rsidR="00423F2A">
        <w:rPr>
          <w:rFonts w:cs="Arial"/>
          <w:sz w:val="16"/>
          <w:szCs w:val="16"/>
        </w:rPr>
        <w:t>3</w:t>
      </w:r>
      <w:r w:rsidRPr="00656AE8">
        <w:rPr>
          <w:rFonts w:cs="Arial"/>
          <w:sz w:val="16"/>
          <w:szCs w:val="16"/>
        </w:rPr>
        <w:t xml:space="preserve"> </w:t>
      </w:r>
      <w:r w:rsidR="002E3910" w:rsidRPr="002E3910">
        <w:rPr>
          <w:rFonts w:cs="Arial"/>
          <w:sz w:val="16"/>
          <w:szCs w:val="16"/>
        </w:rPr>
        <w:t>Architectural Deficiencies</w:t>
      </w:r>
      <w:r w:rsidRPr="00656AE8">
        <w:rPr>
          <w:rFonts w:cs="Arial"/>
          <w:sz w:val="16"/>
          <w:szCs w:val="16"/>
        </w:rPr>
        <w:t xml:space="preserve">’. </w:t>
      </w:r>
      <w:r w:rsidRPr="00656AE8">
        <w:rPr>
          <w:rFonts w:cs="Arial"/>
          <w:i/>
          <w:iCs/>
          <w:sz w:val="16"/>
          <w:szCs w:val="16"/>
        </w:rPr>
        <w:t>Royal Commission into Aboriginal Deaths in Custody: National Report,</w:t>
      </w:r>
      <w:r w:rsidRPr="00656AE8">
        <w:rPr>
          <w:rFonts w:cs="Arial"/>
          <w:sz w:val="16"/>
          <w:szCs w:val="16"/>
        </w:rPr>
        <w:t xml:space="preserve"> Vol. 4, </w:t>
      </w:r>
      <w:hyperlink r:id="rId45" w:history="1">
        <w:r w:rsidRPr="00656AE8">
          <w:rPr>
            <w:rStyle w:val="Hyperlink"/>
            <w:rFonts w:cs="Arial"/>
            <w:sz w:val="16"/>
            <w:szCs w:val="16"/>
          </w:rPr>
          <w:t>https://www.austlii.edu.au/au/other/IndigLRes/rciadic/national/vol4/76.html</w:t>
        </w:r>
      </w:hyperlink>
    </w:p>
  </w:endnote>
  <w:endnote w:id="44">
    <w:p w14:paraId="6E57B8B2" w14:textId="592449B0" w:rsidR="00183FA1" w:rsidRPr="00183FA1" w:rsidRDefault="00183FA1">
      <w:pPr>
        <w:pStyle w:val="EndnoteText"/>
      </w:pPr>
      <w:r w:rsidRPr="00DA2847">
        <w:rPr>
          <w:rStyle w:val="EndnoteReference"/>
          <w:sz w:val="16"/>
          <w:szCs w:val="16"/>
        </w:rPr>
        <w:endnoteRef/>
      </w:r>
      <w:r w:rsidRPr="00DA2847">
        <w:rPr>
          <w:sz w:val="16"/>
          <w:szCs w:val="16"/>
        </w:rPr>
        <w:t xml:space="preserve"> Wallace, R. (2001). </w:t>
      </w:r>
      <w:r w:rsidRPr="00DA2847">
        <w:rPr>
          <w:i/>
          <w:iCs/>
          <w:sz w:val="16"/>
          <w:szCs w:val="16"/>
        </w:rPr>
        <w:t>Findings in the death of Johnno Johnson Wurramarba</w:t>
      </w:r>
      <w:r w:rsidRPr="00DA2847">
        <w:rPr>
          <w:sz w:val="16"/>
          <w:szCs w:val="16"/>
        </w:rPr>
        <w:t xml:space="preserve">, File no. D0019/2000, </w:t>
      </w:r>
      <w:hyperlink r:id="rId46" w:history="1">
        <w:r w:rsidRPr="00DA2847">
          <w:rPr>
            <w:rStyle w:val="Hyperlink"/>
            <w:sz w:val="16"/>
            <w:szCs w:val="16"/>
          </w:rPr>
          <w:t>https://agd.nt.gov.au/media/docs/inquest-finding-pubications/2001/johnno-wurramarba.pdf</w:t>
        </w:r>
      </w:hyperlink>
      <w:r w:rsidRPr="00DA2847">
        <w:rPr>
          <w:sz w:val="16"/>
          <w:szCs w:val="16"/>
        </w:rPr>
        <w:t xml:space="preserve"> </w:t>
      </w:r>
    </w:p>
  </w:endnote>
  <w:endnote w:id="45">
    <w:p w14:paraId="655730BF" w14:textId="69BA32E9" w:rsidR="00E048DB" w:rsidRPr="00DA2847" w:rsidRDefault="00E048DB">
      <w:pPr>
        <w:pStyle w:val="EndnoteText"/>
        <w:rPr>
          <w:sz w:val="16"/>
          <w:szCs w:val="16"/>
        </w:rPr>
      </w:pPr>
      <w:r w:rsidRPr="00DA2847">
        <w:rPr>
          <w:rStyle w:val="EndnoteReference"/>
          <w:sz w:val="16"/>
          <w:szCs w:val="16"/>
        </w:rPr>
        <w:endnoteRef/>
      </w:r>
      <w:r w:rsidRPr="00DA2847">
        <w:rPr>
          <w:sz w:val="16"/>
          <w:szCs w:val="16"/>
        </w:rPr>
        <w:t xml:space="preserve"> Urquhart, P. (2025). </w:t>
      </w:r>
      <w:r w:rsidRPr="00DA2847">
        <w:rPr>
          <w:i/>
          <w:iCs/>
          <w:sz w:val="16"/>
          <w:szCs w:val="16"/>
        </w:rPr>
        <w:t>Record of Investigation into Death</w:t>
      </w:r>
      <w:r w:rsidRPr="00DA2847">
        <w:rPr>
          <w:sz w:val="16"/>
          <w:szCs w:val="16"/>
        </w:rPr>
        <w:t xml:space="preserve">, File no. CORC 3139 of 2023, </w:t>
      </w:r>
      <w:hyperlink r:id="rId47" w:history="1">
        <w:r w:rsidRPr="00DA2847">
          <w:rPr>
            <w:rStyle w:val="Hyperlink"/>
            <w:sz w:val="16"/>
            <w:szCs w:val="16"/>
          </w:rPr>
          <w:t>https://www.coronerscourt.wa.gov.au/_files/inquest_2025/DODD_Cleveland_Keith.pdf</w:t>
        </w:r>
      </w:hyperlink>
      <w:r w:rsidRPr="00DA2847">
        <w:rPr>
          <w:sz w:val="16"/>
          <w:szCs w:val="16"/>
        </w:rPr>
        <w:t xml:space="preserve"> </w:t>
      </w:r>
    </w:p>
  </w:endnote>
  <w:endnote w:id="46">
    <w:p w14:paraId="24A5D526" w14:textId="4A753C31"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eSafety Commissioner (2022). </w:t>
      </w:r>
      <w:r w:rsidRPr="00656AE8">
        <w:rPr>
          <w:rFonts w:cs="Arial"/>
          <w:i/>
          <w:iCs/>
          <w:sz w:val="16"/>
          <w:szCs w:val="16"/>
        </w:rPr>
        <w:t>Cool, beautiful, strange and scary: The online experiences of Aboriginal and Torres Strait Islander children and their parents and caregivers</w:t>
      </w:r>
      <w:r w:rsidRPr="00656AE8">
        <w:rPr>
          <w:rFonts w:cs="Arial"/>
          <w:sz w:val="16"/>
          <w:szCs w:val="16"/>
        </w:rPr>
        <w:t xml:space="preserve">, </w:t>
      </w:r>
      <w:hyperlink r:id="rId48" w:history="1">
        <w:r w:rsidRPr="00656AE8">
          <w:rPr>
            <w:rStyle w:val="Hyperlink"/>
            <w:rFonts w:cs="Arial"/>
            <w:sz w:val="16"/>
            <w:szCs w:val="16"/>
          </w:rPr>
          <w:t>https://www.esafety.gov.au/sites/default/files/2023-03/Cool_beautiful_strange_and_scary_report.pdf</w:t>
        </w:r>
      </w:hyperlink>
      <w:r w:rsidRPr="00656AE8">
        <w:rPr>
          <w:rFonts w:cs="Arial"/>
          <w:sz w:val="16"/>
          <w:szCs w:val="16"/>
        </w:rPr>
        <w:t xml:space="preserve"> </w:t>
      </w:r>
    </w:p>
  </w:endnote>
  <w:endnote w:id="47">
    <w:p w14:paraId="3DC98B78" w14:textId="2B3B8F0E"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Rickard, D. (2024). </w:t>
      </w:r>
      <w:r w:rsidRPr="00656AE8">
        <w:rPr>
          <w:rFonts w:cs="Arial"/>
          <w:i/>
          <w:iCs/>
          <w:sz w:val="16"/>
          <w:szCs w:val="16"/>
          <w:lang w:val="en-US"/>
        </w:rPr>
        <w:t xml:space="preserve">Report of the Statutory Review of the Online Safety Act 2021, </w:t>
      </w:r>
      <w:hyperlink r:id="rId49" w:history="1">
        <w:r w:rsidRPr="00656AE8">
          <w:rPr>
            <w:rStyle w:val="Hyperlink"/>
            <w:rFonts w:cs="Arial"/>
            <w:sz w:val="16"/>
            <w:szCs w:val="16"/>
            <w:lang w:val="en-US"/>
          </w:rPr>
          <w:t>https://www.infrastructure.gov.au/sites/default/files/documents/report-of-the-statutory-review-of-the-online-safety-act-2021-february-2025.pdf</w:t>
        </w:r>
      </w:hyperlink>
      <w:r w:rsidRPr="00656AE8">
        <w:rPr>
          <w:rFonts w:cs="Arial"/>
          <w:i/>
          <w:iCs/>
          <w:sz w:val="16"/>
          <w:szCs w:val="16"/>
          <w:lang w:val="en-US"/>
        </w:rPr>
        <w:t xml:space="preserve"> </w:t>
      </w:r>
    </w:p>
  </w:endnote>
  <w:endnote w:id="48">
    <w:p w14:paraId="4CF57C08" w14:textId="06078280"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Cunneen, C. and Russell, S. (2020). ‘Vilification, vigilantism and violence: Troubling social media in Australia’. </w:t>
      </w:r>
      <w:r w:rsidRPr="00656AE8">
        <w:rPr>
          <w:rFonts w:cs="Arial"/>
          <w:i/>
          <w:iCs/>
          <w:sz w:val="16"/>
          <w:szCs w:val="16"/>
        </w:rPr>
        <w:t>Law, Lawyers and Justice</w:t>
      </w:r>
      <w:r w:rsidRPr="00656AE8">
        <w:rPr>
          <w:rFonts w:cs="Arial"/>
          <w:sz w:val="16"/>
          <w:szCs w:val="16"/>
        </w:rPr>
        <w:t xml:space="preserve">, </w:t>
      </w:r>
      <w:hyperlink r:id="rId50" w:tgtFrame="_blank" w:history="1">
        <w:r w:rsidRPr="00656AE8">
          <w:rPr>
            <w:rStyle w:val="Hyperlink"/>
            <w:rFonts w:cs="Arial"/>
            <w:sz w:val="16"/>
            <w:szCs w:val="16"/>
          </w:rPr>
          <w:t>https://doi.org/10.4324/9780429288128</w:t>
        </w:r>
      </w:hyperlink>
    </w:p>
  </w:endnote>
  <w:endnote w:id="49">
    <w:p w14:paraId="2B274C0B" w14:textId="77777777"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Zahnow, R. and Smith, N. (2024). ‘Locality</w:t>
      </w:r>
      <w:r w:rsidRPr="00656AE8">
        <w:rPr>
          <w:rFonts w:ascii="Cambria Math" w:hAnsi="Cambria Math" w:cs="Cambria Math"/>
          <w:sz w:val="16"/>
          <w:szCs w:val="16"/>
        </w:rPr>
        <w:t>‐</w:t>
      </w:r>
      <w:r w:rsidRPr="00656AE8">
        <w:rPr>
          <w:rFonts w:cs="Arial"/>
          <w:sz w:val="16"/>
          <w:szCs w:val="16"/>
        </w:rPr>
        <w:t xml:space="preserve">based social media: The impact of content consumption and creation on perceived neighborhood crime, safety, and offline crime prevention’. </w:t>
      </w:r>
      <w:r w:rsidRPr="00656AE8">
        <w:rPr>
          <w:rFonts w:cs="Arial"/>
          <w:i/>
          <w:iCs/>
          <w:sz w:val="16"/>
          <w:szCs w:val="16"/>
        </w:rPr>
        <w:t>Journal of Community Psychology</w:t>
      </w:r>
      <w:r w:rsidRPr="00656AE8">
        <w:rPr>
          <w:rFonts w:cs="Arial"/>
          <w:sz w:val="16"/>
          <w:szCs w:val="16"/>
        </w:rPr>
        <w:t xml:space="preserve"> 52 (7) 895-909. </w:t>
      </w:r>
      <w:hyperlink r:id="rId51" w:history="1">
        <w:r w:rsidRPr="00656AE8">
          <w:rPr>
            <w:rStyle w:val="Hyperlink"/>
            <w:rFonts w:cs="Arial"/>
            <w:sz w:val="16"/>
            <w:szCs w:val="16"/>
          </w:rPr>
          <w:t>https://doi.org/10.1002/jcop.23135</w:t>
        </w:r>
      </w:hyperlink>
      <w:r w:rsidRPr="00656AE8">
        <w:rPr>
          <w:rFonts w:cs="Arial"/>
          <w:sz w:val="16"/>
          <w:szCs w:val="16"/>
        </w:rPr>
        <w:t xml:space="preserve"> </w:t>
      </w:r>
    </w:p>
  </w:endnote>
  <w:endnote w:id="50">
    <w:p w14:paraId="1D9D1BD6" w14:textId="77777777"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Cunneen, C. and Russell, S. (2017). 'Social Media, Vigilantism and Indigenous People in Australia', in Pontell, H. N. (ed.), </w:t>
      </w:r>
      <w:r w:rsidRPr="00656AE8">
        <w:rPr>
          <w:rFonts w:cs="Arial"/>
          <w:i/>
          <w:iCs/>
          <w:sz w:val="16"/>
          <w:szCs w:val="16"/>
        </w:rPr>
        <w:t>Oxford Research Encyclopedia of Criminology and Criminal Justice.</w:t>
      </w:r>
      <w:r w:rsidRPr="00656AE8">
        <w:rPr>
          <w:rFonts w:cs="Arial"/>
          <w:sz w:val="16"/>
          <w:szCs w:val="16"/>
        </w:rPr>
        <w:t xml:space="preserve"> </w:t>
      </w:r>
      <w:hyperlink r:id="rId52" w:history="1">
        <w:r w:rsidRPr="00656AE8">
          <w:rPr>
            <w:rStyle w:val="Hyperlink"/>
            <w:rFonts w:cs="Arial"/>
            <w:sz w:val="16"/>
            <w:szCs w:val="16"/>
          </w:rPr>
          <w:t>https://doi.org/10.1093/acrefore/9780190264079.013.109</w:t>
        </w:r>
      </w:hyperlink>
      <w:r w:rsidRPr="00656AE8">
        <w:rPr>
          <w:rFonts w:cs="Arial"/>
          <w:sz w:val="16"/>
          <w:szCs w:val="16"/>
        </w:rPr>
        <w:t> </w:t>
      </w:r>
    </w:p>
  </w:endnote>
  <w:endnote w:id="51">
    <w:p w14:paraId="5D04D473" w14:textId="203E08C3"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Müller, K. and Schwarz, C. (2018) ‘Fanning the Flames of Hate: Social Media and Hate Crime’, </w:t>
      </w:r>
      <w:r w:rsidRPr="00656AE8">
        <w:rPr>
          <w:rFonts w:cs="Arial"/>
          <w:i/>
          <w:iCs/>
          <w:sz w:val="16"/>
          <w:szCs w:val="16"/>
        </w:rPr>
        <w:t>CAGE Online Working Paper Series 373</w:t>
      </w:r>
      <w:r w:rsidRPr="00656AE8">
        <w:rPr>
          <w:rFonts w:cs="Arial"/>
          <w:sz w:val="16"/>
          <w:szCs w:val="16"/>
        </w:rPr>
        <w:t xml:space="preserve">, Competitive Advantage in the Global Economy, </w:t>
      </w:r>
      <w:hyperlink r:id="rId53" w:history="1">
        <w:r w:rsidRPr="00656AE8">
          <w:rPr>
            <w:rStyle w:val="Hyperlink"/>
            <w:rFonts w:cs="Arial"/>
            <w:sz w:val="16"/>
            <w:szCs w:val="16"/>
          </w:rPr>
          <w:t>https://papers.ssrn.com/sol3/papers.cfm?abstract_id=3149103</w:t>
        </w:r>
      </w:hyperlink>
      <w:r w:rsidRPr="00656AE8">
        <w:rPr>
          <w:rFonts w:cs="Arial"/>
          <w:sz w:val="16"/>
          <w:szCs w:val="16"/>
        </w:rPr>
        <w:t xml:space="preserve"> </w:t>
      </w:r>
    </w:p>
  </w:endnote>
  <w:endnote w:id="52">
    <w:p w14:paraId="4C4486BD" w14:textId="3A8AFC8E" w:rsidR="00FC3727" w:rsidRPr="00FC3727" w:rsidRDefault="00FC3727">
      <w:pPr>
        <w:pStyle w:val="EndnoteText"/>
        <w:rPr>
          <w:lang w:val="en-US"/>
        </w:rPr>
      </w:pPr>
      <w:r>
        <w:rPr>
          <w:rStyle w:val="EndnoteReference"/>
        </w:rPr>
        <w:endnoteRef/>
      </w:r>
      <w:r>
        <w:t xml:space="preserve"> </w:t>
      </w:r>
      <w:r w:rsidRPr="00656AE8">
        <w:rPr>
          <w:rFonts w:cs="Arial"/>
          <w:sz w:val="16"/>
          <w:szCs w:val="16"/>
        </w:rPr>
        <w:t xml:space="preserve">Cunneen, C. and Russell, S. (2020). ‘Vilification, vigilantism and violence: Troubling social media in Australia’. </w:t>
      </w:r>
      <w:r w:rsidRPr="00656AE8">
        <w:rPr>
          <w:rFonts w:cs="Arial"/>
          <w:i/>
          <w:iCs/>
          <w:sz w:val="16"/>
          <w:szCs w:val="16"/>
        </w:rPr>
        <w:t>Law, Lawyers and Justice</w:t>
      </w:r>
      <w:r w:rsidRPr="00656AE8">
        <w:rPr>
          <w:rFonts w:cs="Arial"/>
          <w:sz w:val="16"/>
          <w:szCs w:val="16"/>
        </w:rPr>
        <w:t xml:space="preserve">, </w:t>
      </w:r>
      <w:hyperlink r:id="rId54" w:tgtFrame="_blank" w:history="1">
        <w:r w:rsidRPr="00656AE8">
          <w:rPr>
            <w:rStyle w:val="Hyperlink"/>
            <w:rFonts w:cs="Arial"/>
            <w:sz w:val="16"/>
            <w:szCs w:val="16"/>
          </w:rPr>
          <w:t>https://doi.org/10.4324/9780429288128</w:t>
        </w:r>
      </w:hyperlink>
    </w:p>
  </w:endnote>
  <w:endnote w:id="53">
    <w:p w14:paraId="27BDC4CF" w14:textId="4AC7034C"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Cunneen, C. and Russell, S. (2020). ‘Vilification, vigilantism and violence: Troubling social media in Australia’. </w:t>
      </w:r>
      <w:r w:rsidRPr="00656AE8">
        <w:rPr>
          <w:rFonts w:cs="Arial"/>
          <w:i/>
          <w:iCs/>
          <w:sz w:val="16"/>
          <w:szCs w:val="16"/>
        </w:rPr>
        <w:t>Law, Lawyers and Justice</w:t>
      </w:r>
      <w:r w:rsidRPr="00656AE8">
        <w:rPr>
          <w:rFonts w:cs="Arial"/>
          <w:sz w:val="16"/>
          <w:szCs w:val="16"/>
        </w:rPr>
        <w:t xml:space="preserve">, </w:t>
      </w:r>
      <w:hyperlink r:id="rId55" w:tgtFrame="_blank" w:history="1">
        <w:r w:rsidRPr="00656AE8">
          <w:rPr>
            <w:rStyle w:val="Hyperlink"/>
            <w:rFonts w:cs="Arial"/>
            <w:sz w:val="16"/>
            <w:szCs w:val="16"/>
          </w:rPr>
          <w:t>https://doi.org/10.4324/9780429288128</w:t>
        </w:r>
      </w:hyperlink>
    </w:p>
  </w:endnote>
  <w:endnote w:id="54">
    <w:p w14:paraId="4FB60F38" w14:textId="5D444486" w:rsidR="00D717C6" w:rsidRPr="00656AE8" w:rsidRDefault="00D717C6"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Legal Affairs and Community Safety Committee (2014). ‘Transcript Of Proceedings’. </w:t>
      </w:r>
      <w:r w:rsidRPr="00656AE8">
        <w:rPr>
          <w:rFonts w:cs="Arial"/>
          <w:i/>
          <w:iCs/>
          <w:sz w:val="16"/>
          <w:szCs w:val="16"/>
        </w:rPr>
        <w:t>Public Hearing—Inquiry into Strategies to Prevent and Reduce Criminal Activity in Queensland</w:t>
      </w:r>
      <w:r w:rsidRPr="00656AE8">
        <w:rPr>
          <w:rFonts w:cs="Arial"/>
          <w:sz w:val="16"/>
          <w:szCs w:val="16"/>
        </w:rPr>
        <w:t xml:space="preserve">, 12 August, </w:t>
      </w:r>
      <w:hyperlink r:id="rId56" w:history="1">
        <w:r w:rsidRPr="00656AE8">
          <w:rPr>
            <w:rStyle w:val="Hyperlink"/>
            <w:rFonts w:cs="Arial"/>
            <w:sz w:val="16"/>
            <w:szCs w:val="16"/>
          </w:rPr>
          <w:t>https://documents.parliament.qld.gov.au/com/LACSC-4B8C/IQ-C393/trns-ph-12Aug2014.pdf</w:t>
        </w:r>
      </w:hyperlink>
    </w:p>
  </w:endnote>
  <w:endnote w:id="55">
    <w:p w14:paraId="31BF7C3E" w14:textId="77777777" w:rsidR="00CD3A2A" w:rsidRPr="00656AE8" w:rsidRDefault="00CD3A2A"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Legal Affairs and Community Safety Committee (2014). ‘Transcript Of Proceedings’. </w:t>
      </w:r>
      <w:r w:rsidRPr="00656AE8">
        <w:rPr>
          <w:rFonts w:cs="Arial"/>
          <w:i/>
          <w:iCs/>
          <w:sz w:val="16"/>
          <w:szCs w:val="16"/>
        </w:rPr>
        <w:t>Public Hearing—Inquiry into Strategies to Prevent and Reduce Criminal Activity in Queensland</w:t>
      </w:r>
      <w:r w:rsidRPr="00656AE8">
        <w:rPr>
          <w:rFonts w:cs="Arial"/>
          <w:sz w:val="16"/>
          <w:szCs w:val="16"/>
        </w:rPr>
        <w:t xml:space="preserve">, 12 August, </w:t>
      </w:r>
      <w:hyperlink r:id="rId57" w:history="1">
        <w:r w:rsidRPr="00656AE8">
          <w:rPr>
            <w:rStyle w:val="Hyperlink"/>
            <w:rFonts w:cs="Arial"/>
            <w:sz w:val="16"/>
            <w:szCs w:val="16"/>
          </w:rPr>
          <w:t>https://documents.parliament.qld.gov.au/com/LACSC-4B8C/IQ-C393/trns-ph-12Aug2014.pdf</w:t>
        </w:r>
      </w:hyperlink>
      <w:r w:rsidRPr="00656AE8">
        <w:rPr>
          <w:rFonts w:cs="Arial"/>
          <w:sz w:val="16"/>
          <w:szCs w:val="16"/>
        </w:rPr>
        <w:t xml:space="preserve"> </w:t>
      </w:r>
    </w:p>
  </w:endnote>
  <w:endnote w:id="56">
    <w:p w14:paraId="415ACF66" w14:textId="48C3843C" w:rsidR="0064600F" w:rsidRPr="00656AE8" w:rsidRDefault="0064600F"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Queensland Parliament (2014). </w:t>
      </w:r>
      <w:r w:rsidRPr="00656AE8">
        <w:rPr>
          <w:rFonts w:cs="Arial"/>
          <w:i/>
          <w:iCs/>
          <w:sz w:val="16"/>
          <w:szCs w:val="16"/>
        </w:rPr>
        <w:t>Record of Proceedings</w:t>
      </w:r>
      <w:r w:rsidRPr="00656AE8">
        <w:rPr>
          <w:rFonts w:cs="Arial"/>
          <w:sz w:val="16"/>
          <w:szCs w:val="16"/>
        </w:rPr>
        <w:t xml:space="preserve">, 18 March, </w:t>
      </w:r>
      <w:hyperlink r:id="rId58" w:history="1">
        <w:r w:rsidRPr="00656AE8">
          <w:rPr>
            <w:rStyle w:val="Hyperlink"/>
            <w:rFonts w:cs="Arial"/>
            <w:sz w:val="16"/>
            <w:szCs w:val="16"/>
          </w:rPr>
          <w:t>https://documents.parliament.qld.gov.au/events/han/2014/2014_03_18_WEEKLY.PDF</w:t>
        </w:r>
      </w:hyperlink>
      <w:r w:rsidRPr="00656AE8">
        <w:rPr>
          <w:rFonts w:cs="Arial"/>
          <w:sz w:val="16"/>
          <w:szCs w:val="16"/>
        </w:rPr>
        <w:t xml:space="preserve"> </w:t>
      </w:r>
    </w:p>
  </w:endnote>
  <w:endnote w:id="57">
    <w:p w14:paraId="507F23C8" w14:textId="71A278CF"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00D738F1" w:rsidRPr="00656AE8">
        <w:rPr>
          <w:rFonts w:cs="Arial"/>
          <w:sz w:val="16"/>
          <w:szCs w:val="16"/>
        </w:rPr>
        <w:t>Queensland, Youth Justice and Other Legislation Amendment Bill 2014, Explanatory Notes</w:t>
      </w:r>
      <w:r w:rsidR="00B46503" w:rsidRPr="00656AE8">
        <w:rPr>
          <w:rFonts w:cs="Arial"/>
          <w:sz w:val="16"/>
          <w:szCs w:val="16"/>
        </w:rPr>
        <w:t xml:space="preserve">, </w:t>
      </w:r>
      <w:hyperlink r:id="rId59" w:history="1">
        <w:r w:rsidR="00B46503" w:rsidRPr="00656AE8">
          <w:rPr>
            <w:rStyle w:val="Hyperlink"/>
            <w:rFonts w:cs="Arial"/>
            <w:sz w:val="16"/>
            <w:szCs w:val="16"/>
          </w:rPr>
          <w:t>https://www.parliament.qld.gov.au/Work-of-the-Assembly/Tabled-Papers/docs/5414t4463/5414t4463.pdf</w:t>
        </w:r>
      </w:hyperlink>
      <w:r w:rsidR="00B46503" w:rsidRPr="00656AE8">
        <w:rPr>
          <w:rFonts w:cs="Arial"/>
          <w:sz w:val="16"/>
          <w:szCs w:val="16"/>
        </w:rPr>
        <w:t xml:space="preserve"> </w:t>
      </w:r>
    </w:p>
  </w:endnote>
  <w:endnote w:id="58">
    <w:p w14:paraId="1E222350" w14:textId="088F63A2" w:rsidR="009D74D8" w:rsidRPr="00656AE8" w:rsidRDefault="005A2271"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w:t>
      </w:r>
      <w:r w:rsidR="009D74D8" w:rsidRPr="00656AE8">
        <w:rPr>
          <w:rFonts w:cs="Arial"/>
          <w:sz w:val="16"/>
          <w:szCs w:val="16"/>
        </w:rPr>
        <w:t xml:space="preserve">Queensland Parliament (2014). </w:t>
      </w:r>
      <w:r w:rsidR="009D74D8" w:rsidRPr="00656AE8">
        <w:rPr>
          <w:rFonts w:cs="Arial"/>
          <w:i/>
          <w:iCs/>
          <w:sz w:val="16"/>
          <w:szCs w:val="16"/>
        </w:rPr>
        <w:t>Record of Proceedings</w:t>
      </w:r>
      <w:r w:rsidR="009D74D8" w:rsidRPr="00656AE8">
        <w:rPr>
          <w:rFonts w:cs="Arial"/>
          <w:sz w:val="16"/>
          <w:szCs w:val="16"/>
        </w:rPr>
        <w:t xml:space="preserve">, 18 March, </w:t>
      </w:r>
      <w:hyperlink r:id="rId60" w:history="1">
        <w:r w:rsidR="009D74D8" w:rsidRPr="00656AE8">
          <w:rPr>
            <w:rStyle w:val="Hyperlink"/>
            <w:rFonts w:cs="Arial"/>
            <w:sz w:val="16"/>
            <w:szCs w:val="16"/>
          </w:rPr>
          <w:t>https://documents.parliament.qld.gov.au/events/han/2014/2014_03_18_WEEKLY.PDF</w:t>
        </w:r>
      </w:hyperlink>
      <w:r w:rsidR="009D74D8" w:rsidRPr="00656AE8">
        <w:rPr>
          <w:rFonts w:cs="Arial"/>
          <w:sz w:val="16"/>
          <w:szCs w:val="16"/>
        </w:rPr>
        <w:t xml:space="preserve"> </w:t>
      </w:r>
    </w:p>
  </w:endnote>
  <w:endnote w:id="59">
    <w:p w14:paraId="7CC45B51" w14:textId="77777777"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Smith, S. (</w:t>
      </w:r>
      <w:r w:rsidRPr="00656AE8">
        <w:rPr>
          <w:rFonts w:cs="Arial"/>
          <w:sz w:val="16"/>
          <w:szCs w:val="16"/>
          <w:lang w:val="en-US"/>
        </w:rPr>
        <w:t xml:space="preserve">2018). </w:t>
      </w:r>
      <w:r w:rsidRPr="00656AE8">
        <w:rPr>
          <w:rFonts w:cs="Arial"/>
          <w:i/>
          <w:iCs/>
          <w:sz w:val="16"/>
          <w:szCs w:val="16"/>
          <w:lang w:val="en-US"/>
        </w:rPr>
        <w:t>Townsville’s voice: local solutions to address youth crime</w:t>
      </w:r>
      <w:r w:rsidRPr="00656AE8">
        <w:rPr>
          <w:rFonts w:cs="Arial"/>
          <w:sz w:val="16"/>
          <w:szCs w:val="16"/>
          <w:lang w:val="en-US"/>
        </w:rPr>
        <w:t xml:space="preserve">, </w:t>
      </w:r>
      <w:hyperlink r:id="rId61" w:history="1">
        <w:r w:rsidRPr="00656AE8">
          <w:rPr>
            <w:rStyle w:val="Hyperlink"/>
            <w:rFonts w:cs="Arial"/>
            <w:sz w:val="16"/>
            <w:szCs w:val="16"/>
            <w:lang w:val="en-US"/>
          </w:rPr>
          <w:t>https://www.parliament.qld.gov.au/Work-of-the-Assembly/Tabled-Papers/docs/5619t1416/5619t1416.pdf</w:t>
        </w:r>
      </w:hyperlink>
      <w:r w:rsidRPr="00656AE8">
        <w:rPr>
          <w:rFonts w:cs="Arial"/>
          <w:sz w:val="16"/>
          <w:szCs w:val="16"/>
          <w:lang w:val="en-US"/>
        </w:rPr>
        <w:t xml:space="preserve"> </w:t>
      </w:r>
    </w:p>
  </w:endnote>
  <w:endnote w:id="60">
    <w:p w14:paraId="2AFA707A" w14:textId="5FFEAE9D" w:rsidR="00B91F25" w:rsidRPr="00656AE8" w:rsidRDefault="00B91F25"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0012702B" w:rsidRPr="00656AE8">
        <w:rPr>
          <w:rFonts w:cs="Arial"/>
          <w:sz w:val="16"/>
          <w:szCs w:val="16"/>
          <w:lang w:val="en-US"/>
        </w:rPr>
        <w:t xml:space="preserve">Miles, S. and Ryan, M. (2024). </w:t>
      </w:r>
      <w:r w:rsidR="0012702B" w:rsidRPr="00656AE8">
        <w:rPr>
          <w:rFonts w:cs="Arial"/>
          <w:i/>
          <w:iCs/>
          <w:sz w:val="16"/>
          <w:szCs w:val="16"/>
          <w:lang w:val="en-US"/>
        </w:rPr>
        <w:t>Miles Doing What Matters: Post and Boast Laws Expanded</w:t>
      </w:r>
      <w:r w:rsidR="0012702B" w:rsidRPr="00656AE8">
        <w:rPr>
          <w:rFonts w:cs="Arial"/>
          <w:sz w:val="16"/>
          <w:szCs w:val="16"/>
          <w:lang w:val="en-US"/>
        </w:rPr>
        <w:t xml:space="preserve">, </w:t>
      </w:r>
      <w:r w:rsidR="000B4607" w:rsidRPr="00656AE8">
        <w:rPr>
          <w:rFonts w:cs="Arial"/>
          <w:sz w:val="16"/>
          <w:szCs w:val="16"/>
          <w:lang w:val="en-US"/>
        </w:rPr>
        <w:t xml:space="preserve">Joint Statement, 22 August, </w:t>
      </w:r>
      <w:hyperlink r:id="rId62" w:history="1">
        <w:r w:rsidR="000B4607" w:rsidRPr="00656AE8">
          <w:rPr>
            <w:rStyle w:val="Hyperlink"/>
            <w:rFonts w:cs="Arial"/>
            <w:sz w:val="16"/>
            <w:szCs w:val="16"/>
            <w:lang w:val="en-US"/>
          </w:rPr>
          <w:t>https://statements.qld.gov.au/statements/101145</w:t>
        </w:r>
      </w:hyperlink>
      <w:r w:rsidR="00DA2B54" w:rsidRPr="00656AE8">
        <w:rPr>
          <w:rFonts w:cs="Arial"/>
          <w:sz w:val="16"/>
          <w:szCs w:val="16"/>
          <w:lang w:val="en-US"/>
        </w:rPr>
        <w:t xml:space="preserve">; </w:t>
      </w:r>
      <w:r w:rsidR="008B05EA" w:rsidRPr="00656AE8">
        <w:rPr>
          <w:rFonts w:cs="Arial"/>
          <w:sz w:val="16"/>
          <w:szCs w:val="16"/>
          <w:lang w:val="en-US"/>
        </w:rPr>
        <w:t xml:space="preserve">Lazarevich, A. (2024). </w:t>
      </w:r>
      <w:r w:rsidR="00671501" w:rsidRPr="00656AE8">
        <w:rPr>
          <w:rFonts w:cs="Arial"/>
          <w:sz w:val="16"/>
          <w:szCs w:val="16"/>
          <w:lang w:val="en-US"/>
        </w:rPr>
        <w:t>‘</w:t>
      </w:r>
      <w:r w:rsidR="0071405A" w:rsidRPr="00656AE8">
        <w:rPr>
          <w:rFonts w:cs="Arial"/>
          <w:sz w:val="16"/>
          <w:szCs w:val="16"/>
          <w:lang w:val="en-US"/>
        </w:rPr>
        <w:t xml:space="preserve">Statutes Amendment (Criminal Justice Measures) Bill 2024’ [letter], </w:t>
      </w:r>
      <w:hyperlink r:id="rId63" w:history="1">
        <w:r w:rsidR="007E04E4" w:rsidRPr="00656AE8">
          <w:rPr>
            <w:rStyle w:val="Hyperlink"/>
            <w:rFonts w:cs="Arial"/>
            <w:sz w:val="16"/>
            <w:szCs w:val="16"/>
            <w:lang w:val="en-US"/>
          </w:rPr>
          <w:t>https://assets.informz.net/lssa/data/images/Website/Submissions/HonFrankPangalloMLCreStatutesAmendmentCriminalJusticeMeasureBill2024.pdf</w:t>
        </w:r>
      </w:hyperlink>
      <w:r w:rsidR="007E04E4" w:rsidRPr="00656AE8">
        <w:rPr>
          <w:rFonts w:cs="Arial"/>
          <w:sz w:val="16"/>
          <w:szCs w:val="16"/>
          <w:lang w:val="en-US"/>
        </w:rPr>
        <w:t xml:space="preserve"> </w:t>
      </w:r>
    </w:p>
  </w:endnote>
  <w:endnote w:id="61">
    <w:p w14:paraId="4672C54F" w14:textId="5FBAF795" w:rsidR="003C1AEA" w:rsidRPr="00656AE8" w:rsidRDefault="003C1AEA"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McKay, S. and Wilson, C. (2023). ‘A Facebook page spotlit Alice Springs’ crime crisis. It’s also fuelling calls for vigilante justice’. </w:t>
      </w:r>
      <w:r w:rsidRPr="00656AE8">
        <w:rPr>
          <w:rFonts w:cs="Arial"/>
          <w:i/>
          <w:iCs/>
          <w:sz w:val="16"/>
          <w:szCs w:val="16"/>
        </w:rPr>
        <w:t>Crikey</w:t>
      </w:r>
      <w:r w:rsidRPr="00656AE8">
        <w:rPr>
          <w:rFonts w:cs="Arial"/>
          <w:sz w:val="16"/>
          <w:szCs w:val="16"/>
        </w:rPr>
        <w:t xml:space="preserve">, 10 February, </w:t>
      </w:r>
      <w:hyperlink r:id="rId64" w:history="1">
        <w:r w:rsidRPr="00656AE8">
          <w:rPr>
            <w:rStyle w:val="Hyperlink"/>
            <w:rFonts w:cs="Arial"/>
            <w:sz w:val="16"/>
            <w:szCs w:val="16"/>
          </w:rPr>
          <w:t>https://www.crikey.com.au/2023/02/10/action-for-alice-2020-facebook-page-concerns/</w:t>
        </w:r>
      </w:hyperlink>
      <w:r w:rsidRPr="00656AE8">
        <w:rPr>
          <w:rFonts w:cs="Arial"/>
          <w:sz w:val="16"/>
          <w:szCs w:val="16"/>
        </w:rPr>
        <w:t xml:space="preserve"> </w:t>
      </w:r>
    </w:p>
  </w:endnote>
  <w:endnote w:id="62">
    <w:p w14:paraId="78E9E681" w14:textId="1CACAE41" w:rsidR="00C43EED" w:rsidRPr="00656AE8" w:rsidRDefault="00C43EED"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ABC News (2023). ‘Action For Alice Facebook page on hiatus, takes 'unsustainable' toll on founder’, 21 June, </w:t>
      </w:r>
      <w:hyperlink r:id="rId65" w:history="1">
        <w:r w:rsidRPr="00656AE8">
          <w:rPr>
            <w:rStyle w:val="Hyperlink"/>
            <w:rFonts w:cs="Arial"/>
            <w:sz w:val="16"/>
            <w:szCs w:val="16"/>
          </w:rPr>
          <w:t>https://www.abc.net.au/news/2023-06-21/action-for-alice-springs-crime-facebook-page-hiatus/102498970</w:t>
        </w:r>
      </w:hyperlink>
      <w:r w:rsidRPr="00656AE8">
        <w:rPr>
          <w:rFonts w:cs="Arial"/>
          <w:sz w:val="16"/>
          <w:szCs w:val="16"/>
        </w:rPr>
        <w:t xml:space="preserve"> </w:t>
      </w:r>
    </w:p>
  </w:endnote>
  <w:endnote w:id="63">
    <w:p w14:paraId="171D0CBE" w14:textId="6A502E2D" w:rsidR="005A2271" w:rsidRPr="00656AE8" w:rsidRDefault="005A2271"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McEachern, P. (2025). ‘Battle to hold young rapists to account’, </w:t>
      </w:r>
      <w:r w:rsidRPr="00656AE8">
        <w:rPr>
          <w:rFonts w:cs="Arial"/>
          <w:i/>
          <w:iCs/>
          <w:sz w:val="16"/>
          <w:szCs w:val="16"/>
        </w:rPr>
        <w:t>Townsville Bulletin</w:t>
      </w:r>
      <w:r w:rsidRPr="00656AE8">
        <w:rPr>
          <w:rFonts w:cs="Arial"/>
          <w:sz w:val="16"/>
          <w:szCs w:val="16"/>
        </w:rPr>
        <w:t xml:space="preserve">, 10 April, pp. 1–6. </w:t>
      </w:r>
    </w:p>
  </w:endnote>
  <w:endnote w:id="64">
    <w:p w14:paraId="0217D2AE" w14:textId="20B44317"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Brennan, D. (2025). ‘PM supports Vic bail changes despite likelihood of higher Indigenous incarceration’. </w:t>
      </w:r>
      <w:r w:rsidRPr="00656AE8">
        <w:rPr>
          <w:rFonts w:cs="Arial"/>
          <w:i/>
          <w:iCs/>
          <w:sz w:val="16"/>
          <w:szCs w:val="16"/>
        </w:rPr>
        <w:t>National Indigenous Times (NIT)</w:t>
      </w:r>
      <w:r w:rsidRPr="00656AE8">
        <w:rPr>
          <w:rFonts w:cs="Arial"/>
          <w:sz w:val="16"/>
          <w:szCs w:val="16"/>
        </w:rPr>
        <w:t xml:space="preserve">, 25 March, </w:t>
      </w:r>
      <w:hyperlink r:id="rId66" w:history="1">
        <w:r w:rsidRPr="00656AE8">
          <w:rPr>
            <w:rStyle w:val="Hyperlink"/>
            <w:rFonts w:cs="Arial"/>
            <w:sz w:val="16"/>
            <w:szCs w:val="16"/>
          </w:rPr>
          <w:t>https://nit.com.au/25-03-2025/17001/pm-supports-vic-bail-changes-despite-likelihood-of-higher-indigenous-incarceration</w:t>
        </w:r>
      </w:hyperlink>
      <w:r w:rsidRPr="00656AE8">
        <w:rPr>
          <w:rFonts w:cs="Arial"/>
          <w:sz w:val="16"/>
          <w:szCs w:val="16"/>
        </w:rPr>
        <w:t xml:space="preserve">; Editorial (2025) ‘Youth crime clamp begins’, </w:t>
      </w:r>
      <w:r w:rsidRPr="00656AE8">
        <w:rPr>
          <w:rFonts w:cs="Arial"/>
          <w:i/>
          <w:iCs/>
          <w:sz w:val="16"/>
          <w:szCs w:val="16"/>
        </w:rPr>
        <w:t>The Herald Sun</w:t>
      </w:r>
      <w:r w:rsidRPr="00656AE8">
        <w:rPr>
          <w:rFonts w:cs="Arial"/>
          <w:sz w:val="16"/>
          <w:szCs w:val="16"/>
        </w:rPr>
        <w:t>, 24 April, pp. 22.</w:t>
      </w:r>
    </w:p>
  </w:endnote>
  <w:endnote w:id="65">
    <w:p w14:paraId="1F35B393" w14:textId="77777777" w:rsidR="000B1C35" w:rsidRPr="00656AE8" w:rsidRDefault="000B1C35"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McDonald, A., McAlister, M. and Bricknell, S. (2026). </w:t>
      </w:r>
      <w:r w:rsidRPr="00656AE8">
        <w:rPr>
          <w:rFonts w:cs="Arial"/>
          <w:i/>
          <w:iCs/>
          <w:sz w:val="16"/>
          <w:szCs w:val="16"/>
        </w:rPr>
        <w:t>Bail and remand across Australia</w:t>
      </w:r>
      <w:r w:rsidRPr="00656AE8">
        <w:rPr>
          <w:rFonts w:cs="Arial"/>
          <w:sz w:val="16"/>
          <w:szCs w:val="16"/>
        </w:rPr>
        <w:t xml:space="preserve">. Australian Government Australian Institute of Criminology, </w:t>
      </w:r>
      <w:hyperlink r:id="rId67" w:history="1">
        <w:r w:rsidRPr="00656AE8">
          <w:rPr>
            <w:rStyle w:val="Hyperlink"/>
            <w:rFonts w:cs="Arial"/>
            <w:sz w:val="16"/>
            <w:szCs w:val="16"/>
          </w:rPr>
          <w:t>https://www.aic.gov.au/sites/default/files/2026-02/ijc_bail_and_remand_across_australia.pdf</w:t>
        </w:r>
      </w:hyperlink>
    </w:p>
  </w:endnote>
  <w:endnote w:id="66">
    <w:p w14:paraId="08ABBFE7" w14:textId="31029EB8" w:rsidR="001E3F22" w:rsidRPr="00DA2847" w:rsidRDefault="001E3F22">
      <w:pPr>
        <w:pStyle w:val="EndnoteText"/>
        <w:rPr>
          <w:lang w:val="en-US"/>
        </w:rPr>
      </w:pPr>
      <w:r w:rsidRPr="00DA2847">
        <w:rPr>
          <w:rStyle w:val="EndnoteReference"/>
          <w:sz w:val="16"/>
          <w:szCs w:val="16"/>
        </w:rPr>
        <w:endnoteRef/>
      </w:r>
      <w:r w:rsidRPr="00DA2847">
        <w:rPr>
          <w:sz w:val="16"/>
          <w:szCs w:val="16"/>
        </w:rPr>
        <w:t xml:space="preserve"> </w:t>
      </w:r>
      <w:r w:rsidR="00C548C6" w:rsidRPr="00DA2847">
        <w:rPr>
          <w:sz w:val="16"/>
          <w:szCs w:val="16"/>
        </w:rPr>
        <w:t xml:space="preserve">Office of the Inspector of Custodial Services </w:t>
      </w:r>
      <w:r w:rsidR="00C548C6">
        <w:rPr>
          <w:sz w:val="16"/>
          <w:szCs w:val="16"/>
        </w:rPr>
        <w:t xml:space="preserve">(2023). </w:t>
      </w:r>
      <w:r w:rsidRPr="00C548C6">
        <w:rPr>
          <w:i/>
          <w:iCs/>
          <w:sz w:val="16"/>
          <w:szCs w:val="16"/>
        </w:rPr>
        <w:t>2023 Inspection of Banksia Hill Detention Centre and Unit 18 at Casuarina Prison</w:t>
      </w:r>
      <w:r w:rsidRPr="00C549D1">
        <w:rPr>
          <w:sz w:val="16"/>
          <w:szCs w:val="16"/>
        </w:rPr>
        <w:t xml:space="preserve"> (part one</w:t>
      </w:r>
      <w:r w:rsidRPr="00DA2847">
        <w:rPr>
          <w:sz w:val="16"/>
          <w:szCs w:val="16"/>
        </w:rPr>
        <w:t>)</w:t>
      </w:r>
    </w:p>
  </w:endnote>
  <w:endnote w:id="67">
    <w:p w14:paraId="01A0C82B" w14:textId="53ACC023" w:rsidR="00490BEC" w:rsidRPr="00DA2847" w:rsidRDefault="00490BEC">
      <w:pPr>
        <w:pStyle w:val="EndnoteText"/>
        <w:rPr>
          <w:b/>
          <w:bCs/>
          <w:sz w:val="16"/>
          <w:szCs w:val="16"/>
        </w:rPr>
      </w:pPr>
      <w:r w:rsidRPr="00DA2847">
        <w:rPr>
          <w:rStyle w:val="EndnoteReference"/>
          <w:sz w:val="16"/>
          <w:szCs w:val="16"/>
        </w:rPr>
        <w:endnoteRef/>
      </w:r>
      <w:r w:rsidRPr="00DA2847">
        <w:rPr>
          <w:sz w:val="16"/>
          <w:szCs w:val="16"/>
        </w:rPr>
        <w:t xml:space="preserve"> </w:t>
      </w:r>
      <w:r w:rsidR="00052DA8" w:rsidRPr="00DA2847">
        <w:rPr>
          <w:sz w:val="16"/>
          <w:szCs w:val="16"/>
          <w:lang w:val="en-US"/>
        </w:rPr>
        <w:t xml:space="preserve">Urguart, P. (2025) </w:t>
      </w:r>
      <w:r w:rsidR="00E60BC4" w:rsidRPr="00DA2847">
        <w:rPr>
          <w:i/>
          <w:iCs/>
          <w:sz w:val="16"/>
          <w:szCs w:val="16"/>
        </w:rPr>
        <w:t>Inquest into the Death of Cleveland Keith Dodd</w:t>
      </w:r>
      <w:r w:rsidR="00E60BC4" w:rsidRPr="00DA2847">
        <w:rPr>
          <w:sz w:val="16"/>
          <w:szCs w:val="16"/>
        </w:rPr>
        <w:t xml:space="preserve">, </w:t>
      </w:r>
      <w:r w:rsidR="00FE4C31" w:rsidRPr="00DA2847">
        <w:rPr>
          <w:sz w:val="16"/>
          <w:szCs w:val="16"/>
        </w:rPr>
        <w:t>(File no. CORC 3139 of 2023), Coroner’s Court of Western Australia</w:t>
      </w:r>
    </w:p>
  </w:endnote>
  <w:endnote w:id="68">
    <w:p w14:paraId="623ECC5A" w14:textId="78CB3DCF" w:rsidR="005A2271" w:rsidRPr="00656AE8" w:rsidRDefault="005A2271" w:rsidP="00250BDE">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Frecklington, D. (2024). ‘Statement of Compatibility’. </w:t>
      </w:r>
      <w:r w:rsidRPr="00656AE8">
        <w:rPr>
          <w:rFonts w:cs="Arial"/>
          <w:i/>
          <w:iCs/>
          <w:sz w:val="16"/>
          <w:szCs w:val="16"/>
        </w:rPr>
        <w:t>Making Queensland Safer Bill 2024</w:t>
      </w:r>
      <w:r w:rsidRPr="00656AE8">
        <w:rPr>
          <w:rFonts w:cs="Arial"/>
          <w:sz w:val="16"/>
          <w:szCs w:val="16"/>
        </w:rPr>
        <w:t xml:space="preserve">, </w:t>
      </w:r>
      <w:hyperlink r:id="rId68" w:history="1">
        <w:r w:rsidRPr="00656AE8">
          <w:rPr>
            <w:rStyle w:val="Hyperlink"/>
            <w:rFonts w:cs="Arial"/>
            <w:sz w:val="16"/>
            <w:szCs w:val="16"/>
          </w:rPr>
          <w:t>https://www.legislation.qld.gov.au/view/pdf/bill.first.hrc/bill-2024-043</w:t>
        </w:r>
      </w:hyperlink>
      <w:r w:rsidRPr="00656AE8">
        <w:rPr>
          <w:rFonts w:cs="Arial"/>
          <w:sz w:val="16"/>
          <w:szCs w:val="16"/>
        </w:rPr>
        <w:t xml:space="preserve"> </w:t>
      </w:r>
    </w:p>
  </w:endnote>
  <w:endnote w:id="69">
    <w:p w14:paraId="69406579" w14:textId="5E742E48" w:rsidR="002A7FB4" w:rsidRDefault="00F83A3B" w:rsidP="00F13001">
      <w:pPr>
        <w:spacing w:after="0" w:line="240" w:lineRule="auto"/>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Brewster, A. (2025). ‘United Nations representatives urge Queensland parliament to vote down 'adult crime, adult time' laws’. </w:t>
      </w:r>
      <w:r w:rsidRPr="00656AE8">
        <w:rPr>
          <w:rFonts w:cs="Arial"/>
          <w:i/>
          <w:iCs/>
          <w:sz w:val="16"/>
          <w:szCs w:val="16"/>
        </w:rPr>
        <w:t>ABC News</w:t>
      </w:r>
      <w:r w:rsidRPr="00656AE8">
        <w:rPr>
          <w:rFonts w:cs="Arial"/>
          <w:sz w:val="16"/>
          <w:szCs w:val="16"/>
        </w:rPr>
        <w:t xml:space="preserve">, 20 May, </w:t>
      </w:r>
      <w:hyperlink r:id="rId69" w:history="1">
        <w:r w:rsidRPr="00656AE8">
          <w:rPr>
            <w:rStyle w:val="Hyperlink"/>
            <w:rFonts w:cs="Arial"/>
            <w:sz w:val="16"/>
            <w:szCs w:val="16"/>
          </w:rPr>
          <w:t>https://www.abc.net.au/news/2025-05-20/qld-un-criticises-adult-crime-adult-time-youth-justice-law/105312740</w:t>
        </w:r>
      </w:hyperlink>
      <w:r>
        <w:rPr>
          <w:rFonts w:cs="Arial"/>
          <w:sz w:val="16"/>
          <w:szCs w:val="16"/>
        </w:rPr>
        <w:t xml:space="preserve">; </w:t>
      </w:r>
    </w:p>
    <w:p w14:paraId="67653664" w14:textId="77777777" w:rsidR="00D90E99" w:rsidRDefault="00F13001" w:rsidP="00250BDE">
      <w:pPr>
        <w:spacing w:after="0" w:line="240" w:lineRule="auto"/>
        <w:contextualSpacing/>
        <w:rPr>
          <w:rFonts w:cs="Arial"/>
          <w:sz w:val="16"/>
          <w:szCs w:val="16"/>
        </w:rPr>
      </w:pPr>
      <w:r w:rsidRPr="00F13001">
        <w:rPr>
          <w:rFonts w:cs="Arial"/>
          <w:sz w:val="16"/>
          <w:szCs w:val="16"/>
        </w:rPr>
        <w:t xml:space="preserve">Brennan, D. (2025). ‘”Adult time” sentencing laws to pass this week as Vic government admits they are “incompatible” with human rights’. </w:t>
      </w:r>
      <w:r w:rsidRPr="00412D86">
        <w:rPr>
          <w:rFonts w:cs="Arial"/>
          <w:i/>
          <w:iCs/>
          <w:sz w:val="16"/>
          <w:szCs w:val="16"/>
        </w:rPr>
        <w:t>National Indigenous Times</w:t>
      </w:r>
      <w:r w:rsidRPr="00F13001">
        <w:rPr>
          <w:rFonts w:cs="Arial"/>
          <w:sz w:val="16"/>
          <w:szCs w:val="16"/>
        </w:rPr>
        <w:t xml:space="preserve">, 2 December, </w:t>
      </w:r>
      <w:hyperlink r:id="rId70" w:anchor=":~:text=In%20a%20remarkable%20admission%2C%20Attorney-General%20Sonya%20Kilkenny%20admitted,out%22%20in%20the%20state%27s%20Charter%20of%20Human%20Rights" w:history="1">
        <w:r w:rsidRPr="00F13001">
          <w:rPr>
            <w:rStyle w:val="Hyperlink"/>
            <w:rFonts w:cs="Arial"/>
            <w:sz w:val="16"/>
            <w:szCs w:val="16"/>
          </w:rPr>
          <w:t>https://nit.com.au/02-12-2025/21594/abhorrent-adult-time-sentencing-laws-to-pass-this-week-despite-widespread-concerns#:~:text=In%20a%20remarkable%20admission%2C%20Attorney-General%20Sonya%20Kilkenny%20admitted,out%22%20in%20the%20state%27s%20Charter%20of%20Human%20Rights</w:t>
        </w:r>
      </w:hyperlink>
      <w:r>
        <w:rPr>
          <w:rFonts w:cs="Arial"/>
          <w:sz w:val="16"/>
          <w:szCs w:val="16"/>
        </w:rPr>
        <w:t xml:space="preserve">; </w:t>
      </w:r>
    </w:p>
    <w:p w14:paraId="02E5384B" w14:textId="101592B8" w:rsidR="00F83A3B" w:rsidRPr="00412D86" w:rsidRDefault="00D90E99" w:rsidP="00250BDE">
      <w:pPr>
        <w:spacing w:after="0" w:line="240" w:lineRule="auto"/>
        <w:contextualSpacing/>
        <w:rPr>
          <w:rFonts w:cs="Arial"/>
          <w:sz w:val="16"/>
          <w:szCs w:val="16"/>
        </w:rPr>
      </w:pPr>
      <w:r w:rsidRPr="00D90E99">
        <w:rPr>
          <w:rFonts w:cs="Arial"/>
          <w:sz w:val="16"/>
          <w:szCs w:val="16"/>
        </w:rPr>
        <w:t xml:space="preserve">Pulse Tasmania (2025). ‘Greens slam new “adult crime, adult time” law concept as “extreme”’. 29 April, </w:t>
      </w:r>
      <w:hyperlink r:id="rId71" w:history="1">
        <w:r w:rsidR="003D3DB1" w:rsidRPr="00CF7318">
          <w:rPr>
            <w:rStyle w:val="Hyperlink"/>
            <w:rFonts w:cs="Arial"/>
            <w:sz w:val="16"/>
            <w:szCs w:val="16"/>
          </w:rPr>
          <w:t>https://pulsetasmania.com.au/news/greens-slam-new-adult-crime-adult-time-law-concept-as-extreme/</w:t>
        </w:r>
      </w:hyperlink>
      <w:r w:rsidR="00F27FAE">
        <w:rPr>
          <w:rFonts w:cs="Arial"/>
          <w:sz w:val="16"/>
          <w:szCs w:val="16"/>
        </w:rPr>
        <w:t xml:space="preserve">; </w:t>
      </w:r>
      <w:r w:rsidR="00F83A3B" w:rsidRPr="00656AE8">
        <w:rPr>
          <w:rFonts w:cs="Arial"/>
          <w:sz w:val="16"/>
          <w:szCs w:val="16"/>
        </w:rPr>
        <w:t xml:space="preserve">Burke, L. (2016). ‘NT Chief Minister Adam Giles wanted to put criminals in a “big concrete hole”’. </w:t>
      </w:r>
      <w:r w:rsidR="00F83A3B" w:rsidRPr="00656AE8">
        <w:rPr>
          <w:rFonts w:cs="Arial"/>
          <w:i/>
          <w:iCs/>
          <w:sz w:val="16"/>
          <w:szCs w:val="16"/>
        </w:rPr>
        <w:t>Nationwide News</w:t>
      </w:r>
      <w:r w:rsidR="00F83A3B" w:rsidRPr="00656AE8">
        <w:rPr>
          <w:rFonts w:cs="Arial"/>
          <w:sz w:val="16"/>
          <w:szCs w:val="16"/>
        </w:rPr>
        <w:t xml:space="preserve">, 27 July, </w:t>
      </w:r>
      <w:hyperlink r:id="rId72" w:history="1">
        <w:r w:rsidR="00F83A3B" w:rsidRPr="00656AE8">
          <w:rPr>
            <w:rStyle w:val="Hyperlink"/>
            <w:rFonts w:cs="Arial"/>
            <w:sz w:val="16"/>
            <w:szCs w:val="16"/>
          </w:rPr>
          <w:t>https://www.news.com.au/national/politics/nt-chief-minister-adam-giles-wanted-to-put-criminals-in-a-big-concrete-hole/news-story/2635dc9b750d6354c5d1182391ee47dd</w:t>
        </w:r>
      </w:hyperlink>
    </w:p>
  </w:endnote>
  <w:endnote w:id="70">
    <w:p w14:paraId="1C5EDFF7" w14:textId="35ED1F9B"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White, M. and Gooda, M. (2017). ‘In the matter of a Royal Commission into the child protection and youth detention systems of the Northern Territory’. </w:t>
      </w:r>
      <w:r w:rsidRPr="00656AE8">
        <w:rPr>
          <w:rFonts w:cs="Arial"/>
          <w:i/>
          <w:iCs/>
          <w:sz w:val="16"/>
          <w:szCs w:val="16"/>
        </w:rPr>
        <w:t>Transcript of Proceedings</w:t>
      </w:r>
      <w:r w:rsidRPr="00656AE8">
        <w:rPr>
          <w:rFonts w:cs="Arial"/>
          <w:sz w:val="16"/>
          <w:szCs w:val="16"/>
        </w:rPr>
        <w:t xml:space="preserve">, 10 May, </w:t>
      </w:r>
      <w:hyperlink r:id="rId73" w:history="1">
        <w:r w:rsidRPr="00656AE8">
          <w:rPr>
            <w:rStyle w:val="Hyperlink"/>
            <w:rFonts w:cs="Arial"/>
            <w:sz w:val="16"/>
            <w:szCs w:val="16"/>
          </w:rPr>
          <w:t>https://webarchive.nla.gov.au/awa/20181010010126/https://childdetentionnt.royalcommission.gov.au/NT-public-hearings/Pages/Transcripts.aspx</w:t>
        </w:r>
      </w:hyperlink>
      <w:r w:rsidRPr="00656AE8">
        <w:rPr>
          <w:rFonts w:cs="Arial"/>
          <w:sz w:val="16"/>
          <w:szCs w:val="16"/>
        </w:rPr>
        <w:t xml:space="preserve"> </w:t>
      </w:r>
    </w:p>
  </w:endnote>
  <w:endnote w:id="71">
    <w:p w14:paraId="1AB91944" w14:textId="77777777" w:rsidR="008112C4" w:rsidRPr="00656AE8" w:rsidRDefault="008112C4" w:rsidP="008112C4">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Brewster, A. (2025). ‘Queensland government expands youth justice laws, David Crisafulli tells UN critics “you don't control me”’. </w:t>
      </w:r>
      <w:r w:rsidRPr="00656AE8">
        <w:rPr>
          <w:rFonts w:cs="Arial"/>
          <w:i/>
          <w:iCs/>
          <w:sz w:val="16"/>
          <w:szCs w:val="16"/>
        </w:rPr>
        <w:t>ABC News</w:t>
      </w:r>
      <w:r w:rsidRPr="00656AE8">
        <w:rPr>
          <w:rFonts w:cs="Arial"/>
          <w:sz w:val="16"/>
          <w:szCs w:val="16"/>
        </w:rPr>
        <w:t xml:space="preserve">, 22 May, </w:t>
      </w:r>
      <w:hyperlink r:id="rId74" w:history="1">
        <w:r w:rsidRPr="00656AE8">
          <w:rPr>
            <w:rStyle w:val="Hyperlink"/>
            <w:rFonts w:cs="Arial"/>
            <w:sz w:val="16"/>
            <w:szCs w:val="16"/>
          </w:rPr>
          <w:t>https://www.abc.net.au/news/2025-05-22/new-adult-crime-adult-time-laws-pass-qld-parliament/105319192</w:t>
        </w:r>
      </w:hyperlink>
      <w:r w:rsidRPr="00656AE8">
        <w:rPr>
          <w:rFonts w:cs="Arial"/>
          <w:sz w:val="16"/>
          <w:szCs w:val="16"/>
        </w:rPr>
        <w:t xml:space="preserve"> </w:t>
      </w:r>
    </w:p>
  </w:endnote>
  <w:endnote w:id="72">
    <w:p w14:paraId="088D4F1D" w14:textId="0F19E13C" w:rsidR="009D05FB" w:rsidRPr="009D05FB" w:rsidRDefault="009D05FB">
      <w:pPr>
        <w:pStyle w:val="EndnoteText"/>
        <w:rPr>
          <w:lang w:val="en-US"/>
        </w:rPr>
      </w:pPr>
      <w:r>
        <w:rPr>
          <w:rStyle w:val="EndnoteReference"/>
        </w:rPr>
        <w:endnoteRef/>
      </w:r>
      <w:r>
        <w:t xml:space="preserve"> </w:t>
      </w:r>
      <w:r w:rsidRPr="00656AE8">
        <w:rPr>
          <w:rFonts w:cs="Arial"/>
          <w:sz w:val="16"/>
          <w:szCs w:val="16"/>
        </w:rPr>
        <w:t xml:space="preserve">White, M. and Gooda, M. (2017). </w:t>
      </w:r>
      <w:r w:rsidRPr="00656AE8">
        <w:rPr>
          <w:rFonts w:cs="Arial"/>
          <w:i/>
          <w:iCs/>
          <w:sz w:val="16"/>
          <w:szCs w:val="16"/>
        </w:rPr>
        <w:t>Report of the Royal Commission and Board of Inquiry into the Protection and Detention of Children in the Northern Territory</w:t>
      </w:r>
      <w:r w:rsidRPr="00656AE8">
        <w:rPr>
          <w:rFonts w:cs="Arial"/>
          <w:sz w:val="16"/>
          <w:szCs w:val="16"/>
        </w:rPr>
        <w:t xml:space="preserve">, Vol. </w:t>
      </w:r>
      <w:r>
        <w:rPr>
          <w:rFonts w:cs="Arial"/>
          <w:sz w:val="16"/>
          <w:szCs w:val="16"/>
        </w:rPr>
        <w:t>2</w:t>
      </w:r>
      <w:r w:rsidR="005E7FBA">
        <w:rPr>
          <w:rFonts w:cs="Arial"/>
          <w:sz w:val="16"/>
          <w:szCs w:val="16"/>
        </w:rPr>
        <w:t xml:space="preserve">A, </w:t>
      </w:r>
      <w:hyperlink r:id="rId75" w:history="1">
        <w:r w:rsidR="00775F34" w:rsidRPr="00656AE8">
          <w:rPr>
            <w:rStyle w:val="Hyperlink"/>
            <w:rFonts w:cs="Arial"/>
            <w:sz w:val="16"/>
            <w:szCs w:val="16"/>
          </w:rPr>
          <w:t>https://www.royalcommission.gov.au/child-detention/final-report</w:t>
        </w:r>
      </w:hyperlink>
    </w:p>
  </w:endnote>
  <w:endnote w:id="73">
    <w:p w14:paraId="3D845BD5" w14:textId="77777777" w:rsidR="00E26D3C" w:rsidRPr="00656AE8" w:rsidRDefault="00E26D3C" w:rsidP="00E26D3C">
      <w:pPr>
        <w:pStyle w:val="EndnoteText"/>
        <w:contextualSpacing/>
        <w:rPr>
          <w:rFonts w:cs="Arial"/>
          <w:sz w:val="16"/>
          <w:szCs w:val="16"/>
        </w:rPr>
      </w:pPr>
      <w:r w:rsidRPr="00656AE8">
        <w:rPr>
          <w:rStyle w:val="EndnoteReference"/>
          <w:rFonts w:cs="Arial"/>
          <w:sz w:val="16"/>
          <w:szCs w:val="16"/>
        </w:rPr>
        <w:endnoteRef/>
      </w:r>
      <w:r w:rsidRPr="00656AE8">
        <w:rPr>
          <w:rFonts w:cs="Arial"/>
          <w:sz w:val="16"/>
          <w:szCs w:val="16"/>
        </w:rPr>
        <w:t xml:space="preserve"> White, M. and Gooda, M. (2017). </w:t>
      </w:r>
      <w:r w:rsidRPr="00656AE8">
        <w:rPr>
          <w:rFonts w:cs="Arial"/>
          <w:i/>
          <w:iCs/>
          <w:sz w:val="16"/>
          <w:szCs w:val="16"/>
        </w:rPr>
        <w:t>Report of the Royal Commission and Board of Inquiry into the Protection and Detention of Children in the Northern Territory</w:t>
      </w:r>
      <w:r w:rsidRPr="00656AE8">
        <w:rPr>
          <w:rFonts w:cs="Arial"/>
          <w:sz w:val="16"/>
          <w:szCs w:val="16"/>
        </w:rPr>
        <w:t xml:space="preserve">, Vol. 1, </w:t>
      </w:r>
      <w:hyperlink r:id="rId76" w:history="1">
        <w:r w:rsidRPr="00656AE8">
          <w:rPr>
            <w:rStyle w:val="Hyperlink"/>
            <w:rFonts w:cs="Arial"/>
            <w:sz w:val="16"/>
            <w:szCs w:val="16"/>
          </w:rPr>
          <w:t>https://www.royalcommission.gov.au/child-detention/final-report</w:t>
        </w:r>
      </w:hyperlink>
      <w:r w:rsidRPr="00656AE8">
        <w:rPr>
          <w:rFonts w:cs="Arial"/>
          <w:sz w:val="16"/>
          <w:szCs w:val="16"/>
        </w:rPr>
        <w:t xml:space="preserve"> </w:t>
      </w:r>
    </w:p>
  </w:endnote>
  <w:endnote w:id="74">
    <w:p w14:paraId="11A9279F" w14:textId="23BE3CA1"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Park, M. (2022). ‘NT laws capping abuse compensation labelled 'shameful'’, </w:t>
      </w:r>
      <w:r w:rsidRPr="00656AE8">
        <w:rPr>
          <w:rFonts w:cs="Arial"/>
          <w:i/>
          <w:iCs/>
          <w:sz w:val="16"/>
          <w:szCs w:val="16"/>
        </w:rPr>
        <w:t>National Indigenous Television (NITV)</w:t>
      </w:r>
      <w:r w:rsidRPr="00656AE8">
        <w:rPr>
          <w:rFonts w:cs="Arial"/>
          <w:sz w:val="16"/>
          <w:szCs w:val="16"/>
        </w:rPr>
        <w:t xml:space="preserve">, 20 May, </w:t>
      </w:r>
      <w:hyperlink r:id="rId77" w:history="1">
        <w:r w:rsidR="006E545B" w:rsidRPr="00C72617">
          <w:rPr>
            <w:rStyle w:val="Hyperlink"/>
            <w:rFonts w:cs="Arial"/>
            <w:sz w:val="16"/>
            <w:szCs w:val="16"/>
          </w:rPr>
          <w:t>https://www.sbs.com.au/nitv/nitv-news/article/nt-laws-capping-abuse-compensation-labelled-shameful/7wjamjhla</w:t>
        </w:r>
      </w:hyperlink>
      <w:r w:rsidR="006E545B">
        <w:rPr>
          <w:rFonts w:cs="Arial"/>
          <w:sz w:val="16"/>
          <w:szCs w:val="16"/>
        </w:rPr>
        <w:t xml:space="preserve"> </w:t>
      </w:r>
    </w:p>
  </w:endnote>
  <w:endnote w:id="75">
    <w:p w14:paraId="41A8FED1" w14:textId="7FFDA6F0" w:rsidR="005A2271" w:rsidRPr="00656AE8" w:rsidRDefault="005A2271" w:rsidP="00250BDE">
      <w:pPr>
        <w:pStyle w:val="EndnoteText"/>
        <w:contextualSpacing/>
        <w:rPr>
          <w:rFonts w:cs="Arial"/>
          <w:i/>
          <w:iCs/>
          <w:sz w:val="16"/>
          <w:szCs w:val="16"/>
        </w:rPr>
      </w:pPr>
      <w:r w:rsidRPr="00656AE8">
        <w:rPr>
          <w:rStyle w:val="EndnoteReference"/>
          <w:rFonts w:cs="Arial"/>
          <w:sz w:val="16"/>
          <w:szCs w:val="16"/>
        </w:rPr>
        <w:endnoteRef/>
      </w:r>
      <w:r w:rsidRPr="00656AE8">
        <w:rPr>
          <w:rFonts w:cs="Arial"/>
          <w:sz w:val="16"/>
          <w:szCs w:val="16"/>
        </w:rPr>
        <w:t xml:space="preserve"> Northern Territory Government (2022). ‘Personal Liabilities (Liabilities and Damage) Act Amendments’. </w:t>
      </w:r>
      <w:r w:rsidRPr="00656AE8">
        <w:rPr>
          <w:rFonts w:cs="Arial"/>
          <w:i/>
          <w:iCs/>
          <w:sz w:val="16"/>
          <w:szCs w:val="16"/>
        </w:rPr>
        <w:t>Attorney-General’s Department</w:t>
      </w:r>
      <w:r w:rsidRPr="00656AE8">
        <w:rPr>
          <w:rFonts w:cs="Arial"/>
          <w:sz w:val="16"/>
          <w:szCs w:val="16"/>
        </w:rPr>
        <w:t xml:space="preserve">, </w:t>
      </w:r>
      <w:hyperlink r:id="rId78" w:history="1">
        <w:r w:rsidRPr="00656AE8">
          <w:rPr>
            <w:rStyle w:val="Hyperlink"/>
            <w:rFonts w:cs="Arial"/>
            <w:sz w:val="16"/>
            <w:szCs w:val="16"/>
          </w:rPr>
          <w:t>https://agd.nt.gov.au/law-reform-reviews/civil-law-reform/personal-liabilities-liabilities-damage-act-amendments</w:t>
        </w:r>
      </w:hyperlink>
      <w:r w:rsidRPr="00656AE8">
        <w:rPr>
          <w:rFonts w:cs="Arial"/>
          <w:sz w:val="16"/>
          <w:szCs w:val="16"/>
        </w:rPr>
        <w:t xml:space="preserve">; </w:t>
      </w:r>
      <w:r w:rsidRPr="00656AE8">
        <w:rPr>
          <w:rFonts w:cs="Arial"/>
          <w:i/>
          <w:iCs/>
          <w:sz w:val="16"/>
          <w:szCs w:val="16"/>
        </w:rPr>
        <w:t>Personal Injuries (Liabilities and Damages) Amendment Act 2022</w:t>
      </w:r>
      <w:r w:rsidRPr="00656AE8">
        <w:rPr>
          <w:rFonts w:cs="Arial"/>
          <w:sz w:val="16"/>
          <w:szCs w:val="16"/>
        </w:rPr>
        <w:t xml:space="preserve"> (NT)</w:t>
      </w:r>
    </w:p>
  </w:endnote>
  <w:endnote w:id="76">
    <w:p w14:paraId="6E366157" w14:textId="44319BAC"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Gibson, J. (2022). ‘Legal groups condemn NT government over plan to cap compensation for mistreatment in prisons’. </w:t>
      </w:r>
      <w:r w:rsidRPr="00656AE8">
        <w:rPr>
          <w:rFonts w:cs="Arial"/>
          <w:i/>
          <w:iCs/>
          <w:sz w:val="16"/>
          <w:szCs w:val="16"/>
        </w:rPr>
        <w:t>Australian Broadcasting Commission (ABC)</w:t>
      </w:r>
      <w:r w:rsidRPr="00656AE8">
        <w:rPr>
          <w:rFonts w:cs="Arial"/>
          <w:sz w:val="16"/>
          <w:szCs w:val="16"/>
        </w:rPr>
        <w:t xml:space="preserve">, 7 May, </w:t>
      </w:r>
      <w:hyperlink r:id="rId79" w:history="1">
        <w:r w:rsidRPr="00656AE8">
          <w:rPr>
            <w:rStyle w:val="Hyperlink"/>
            <w:rFonts w:cs="Arial"/>
            <w:sz w:val="16"/>
            <w:szCs w:val="16"/>
          </w:rPr>
          <w:t>Legal groups condemn NT government over plan to cap compensation for mistreatment in prisons - ABC News</w:t>
        </w:r>
      </w:hyperlink>
    </w:p>
  </w:endnote>
  <w:endnote w:id="77">
    <w:p w14:paraId="0F6DF38C" w14:textId="01DFFF50"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Maxwell, R. (2024). ‘Man who cable-tied three children in Broome found guilty of two counts of aggravated assault’. </w:t>
      </w:r>
      <w:r w:rsidRPr="00656AE8">
        <w:rPr>
          <w:rFonts w:cs="Arial"/>
          <w:i/>
          <w:iCs/>
          <w:sz w:val="16"/>
          <w:szCs w:val="16"/>
          <w:lang w:val="en-US"/>
        </w:rPr>
        <w:t>NITV</w:t>
      </w:r>
      <w:r w:rsidRPr="00656AE8">
        <w:rPr>
          <w:rFonts w:cs="Arial"/>
          <w:sz w:val="16"/>
          <w:szCs w:val="16"/>
          <w:lang w:val="en-US"/>
        </w:rPr>
        <w:t xml:space="preserve">, 7 October, </w:t>
      </w:r>
      <w:hyperlink r:id="rId80" w:history="1">
        <w:r w:rsidRPr="00656AE8">
          <w:rPr>
            <w:rStyle w:val="Hyperlink"/>
            <w:rFonts w:cs="Arial"/>
            <w:sz w:val="16"/>
            <w:szCs w:val="16"/>
            <w:lang w:val="en-US"/>
          </w:rPr>
          <w:t>https://www.sbs.com.au/nitv/article/man-who-cable-tied-broome-children-found-guilty-of-two-counts-of-aggravated-assault/59tcqzpac</w:t>
        </w:r>
      </w:hyperlink>
      <w:r w:rsidRPr="00656AE8">
        <w:rPr>
          <w:rFonts w:cs="Arial"/>
          <w:sz w:val="16"/>
          <w:szCs w:val="16"/>
          <w:lang w:val="en-US"/>
        </w:rPr>
        <w:t xml:space="preserve"> </w:t>
      </w:r>
    </w:p>
  </w:endnote>
  <w:endnote w:id="78">
    <w:p w14:paraId="310BF856" w14:textId="667AF5AF"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NITV. (2025). ‘Life sentence: court hands Cassius' killers their penalties’. </w:t>
      </w:r>
      <w:r w:rsidRPr="00656AE8">
        <w:rPr>
          <w:rFonts w:cs="Arial"/>
          <w:i/>
          <w:iCs/>
          <w:sz w:val="16"/>
          <w:szCs w:val="16"/>
          <w:lang w:val="en-US"/>
        </w:rPr>
        <w:t>NITV</w:t>
      </w:r>
      <w:r w:rsidRPr="00656AE8">
        <w:rPr>
          <w:rFonts w:cs="Arial"/>
          <w:sz w:val="16"/>
          <w:szCs w:val="16"/>
          <w:lang w:val="en-US"/>
        </w:rPr>
        <w:t xml:space="preserve">, 27 June, </w:t>
      </w:r>
      <w:hyperlink r:id="rId81" w:history="1">
        <w:r w:rsidRPr="00656AE8">
          <w:rPr>
            <w:rStyle w:val="Hyperlink"/>
            <w:rFonts w:cs="Arial"/>
            <w:sz w:val="16"/>
            <w:szCs w:val="16"/>
            <w:lang w:val="en-US"/>
          </w:rPr>
          <w:t>https://www.sbs.com.au/nitv/article/life-sentence-court-hands-cassius-killers-their-penalties/xc2qmi0cw</w:t>
        </w:r>
      </w:hyperlink>
      <w:r w:rsidRPr="00656AE8">
        <w:rPr>
          <w:rFonts w:cs="Arial"/>
          <w:sz w:val="16"/>
          <w:szCs w:val="16"/>
          <w:lang w:val="en-US"/>
        </w:rPr>
        <w:t xml:space="preserve"> </w:t>
      </w:r>
    </w:p>
  </w:endnote>
  <w:endnote w:id="79">
    <w:p w14:paraId="065FA677" w14:textId="3D19901B" w:rsidR="005A2271" w:rsidRPr="00656AE8" w:rsidRDefault="005A2271"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Gourley, J. (2020). ‘Despite 432 Indigenous deaths in custody since 1991, no one has ever been convicted. Racist silence and complicity are to blame’. </w:t>
      </w:r>
      <w:r w:rsidRPr="00656AE8">
        <w:rPr>
          <w:rFonts w:cs="Arial"/>
          <w:i/>
          <w:iCs/>
          <w:sz w:val="16"/>
          <w:szCs w:val="16"/>
        </w:rPr>
        <w:t>The Conversation</w:t>
      </w:r>
      <w:r w:rsidRPr="00656AE8">
        <w:rPr>
          <w:rFonts w:cs="Arial"/>
          <w:sz w:val="16"/>
          <w:szCs w:val="16"/>
        </w:rPr>
        <w:t xml:space="preserve">, 3 June, </w:t>
      </w:r>
      <w:hyperlink r:id="rId82" w:history="1">
        <w:r w:rsidRPr="00656AE8">
          <w:rPr>
            <w:rStyle w:val="Hyperlink"/>
            <w:rFonts w:cs="Arial"/>
            <w:sz w:val="16"/>
            <w:szCs w:val="16"/>
          </w:rPr>
          <w:t>https://theconversation.com/despite-432-indigenous-deaths-in-custody-since-1991-no-one-has-ever-been-convicted-racist-silence-and-complicity-are-to-blame-139873</w:t>
        </w:r>
      </w:hyperlink>
      <w:r w:rsidRPr="00656AE8">
        <w:rPr>
          <w:rFonts w:cs="Arial"/>
          <w:sz w:val="16"/>
          <w:szCs w:val="16"/>
        </w:rPr>
        <w:t xml:space="preserve"> </w:t>
      </w:r>
    </w:p>
  </w:endnote>
  <w:endnote w:id="80">
    <w:p w14:paraId="26DC890E" w14:textId="77777777" w:rsidR="00E64204" w:rsidRPr="00656AE8" w:rsidRDefault="00E64204"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Committee on the Elimination of Racial Discrimination (2017). </w:t>
      </w:r>
      <w:r w:rsidRPr="00656AE8">
        <w:rPr>
          <w:rFonts w:cs="Arial"/>
          <w:i/>
          <w:iCs/>
          <w:sz w:val="16"/>
          <w:szCs w:val="16"/>
          <w:lang w:val="en-US"/>
        </w:rPr>
        <w:t>Concluding observations on the eighteenth to twentieth periodic reports of Australia</w:t>
      </w:r>
      <w:r w:rsidRPr="00656AE8">
        <w:rPr>
          <w:rFonts w:cs="Arial"/>
          <w:sz w:val="16"/>
          <w:szCs w:val="16"/>
          <w:lang w:val="en-US"/>
        </w:rPr>
        <w:t xml:space="preserve">, UN Doc </w:t>
      </w:r>
      <w:r w:rsidRPr="00656AE8">
        <w:rPr>
          <w:rFonts w:cs="Arial"/>
          <w:sz w:val="16"/>
          <w:szCs w:val="16"/>
        </w:rPr>
        <w:t>CERD/C/AUS/CO/18-20,</w:t>
      </w:r>
      <w:r w:rsidRPr="00656AE8">
        <w:rPr>
          <w:rFonts w:cs="Arial"/>
          <w:sz w:val="16"/>
          <w:szCs w:val="16"/>
          <w:lang w:val="en-US"/>
        </w:rPr>
        <w:t xml:space="preserve"> </w:t>
      </w:r>
      <w:hyperlink r:id="rId83" w:history="1">
        <w:r w:rsidRPr="00656AE8">
          <w:rPr>
            <w:rStyle w:val="Hyperlink"/>
            <w:rFonts w:cs="Arial"/>
            <w:sz w:val="16"/>
            <w:szCs w:val="16"/>
            <w:lang w:val="en-US"/>
          </w:rPr>
          <w:t>https://digitallibrary.un.org/record/3843103?v=pdf</w:t>
        </w:r>
      </w:hyperlink>
      <w:r w:rsidRPr="00656AE8">
        <w:rPr>
          <w:rFonts w:cs="Arial"/>
          <w:sz w:val="16"/>
          <w:szCs w:val="16"/>
          <w:lang w:val="en-US"/>
        </w:rPr>
        <w:t xml:space="preserve"> </w:t>
      </w:r>
    </w:p>
  </w:endnote>
  <w:endnote w:id="81">
    <w:p w14:paraId="7582B320" w14:textId="77777777" w:rsidR="00E64204" w:rsidRPr="00656AE8" w:rsidRDefault="00E64204" w:rsidP="00250BDE">
      <w:pPr>
        <w:pStyle w:val="EndnoteText"/>
        <w:contextualSpacing/>
        <w:rPr>
          <w:rFonts w:cs="Arial"/>
          <w:i/>
          <w:iCs/>
          <w:sz w:val="16"/>
          <w:szCs w:val="16"/>
        </w:rPr>
      </w:pPr>
      <w:r w:rsidRPr="00656AE8">
        <w:rPr>
          <w:rStyle w:val="EndnoteReference"/>
          <w:rFonts w:cs="Arial"/>
          <w:sz w:val="16"/>
          <w:szCs w:val="16"/>
        </w:rPr>
        <w:endnoteRef/>
      </w:r>
      <w:r w:rsidRPr="00656AE8">
        <w:rPr>
          <w:rFonts w:cs="Arial"/>
          <w:sz w:val="16"/>
          <w:szCs w:val="16"/>
        </w:rPr>
        <w:t xml:space="preserve"> United Nations Committee on the Rights of the Child (2019). </w:t>
      </w:r>
      <w:r w:rsidRPr="00656AE8">
        <w:rPr>
          <w:rFonts w:cs="Arial"/>
          <w:i/>
          <w:iCs/>
          <w:sz w:val="16"/>
          <w:szCs w:val="16"/>
        </w:rPr>
        <w:t>General Comment No 24: Children’s rights in the child justice system,</w:t>
      </w:r>
      <w:r w:rsidRPr="00656AE8">
        <w:rPr>
          <w:rFonts w:cs="Arial"/>
          <w:sz w:val="16"/>
          <w:szCs w:val="16"/>
        </w:rPr>
        <w:t xml:space="preserve"> UN Doc CRC/C/GC/24, </w:t>
      </w:r>
      <w:hyperlink r:id="rId84" w:history="1">
        <w:r w:rsidRPr="00656AE8">
          <w:rPr>
            <w:rStyle w:val="Hyperlink"/>
            <w:rFonts w:cs="Arial"/>
            <w:sz w:val="16"/>
            <w:szCs w:val="16"/>
          </w:rPr>
          <w:t>https://www.ohchr.org/en/documents/general-comments-and-recommendations/general-comment-no-24-2019-childrens-rights-child</w:t>
        </w:r>
      </w:hyperlink>
    </w:p>
  </w:endnote>
  <w:endnote w:id="82">
    <w:p w14:paraId="5757EF8D" w14:textId="77777777" w:rsidR="00D10A3B" w:rsidRPr="00E806CB" w:rsidRDefault="00D10A3B" w:rsidP="00D10A3B">
      <w:pPr>
        <w:pStyle w:val="EndnoteText"/>
        <w:contextualSpacing/>
        <w:rPr>
          <w:rFonts w:cs="Arial"/>
          <w:i/>
          <w:iCs/>
          <w:sz w:val="16"/>
          <w:szCs w:val="16"/>
        </w:rPr>
      </w:pPr>
      <w:r w:rsidRPr="00656AE8">
        <w:rPr>
          <w:rStyle w:val="EndnoteReference"/>
          <w:rFonts w:cs="Arial"/>
          <w:sz w:val="16"/>
          <w:szCs w:val="16"/>
        </w:rPr>
        <w:endnoteRef/>
      </w:r>
      <w:r w:rsidRPr="00656AE8">
        <w:rPr>
          <w:rFonts w:cs="Arial"/>
          <w:sz w:val="16"/>
          <w:szCs w:val="16"/>
        </w:rPr>
        <w:t xml:space="preserve"> United Nations Committee on the Rights of the Child (2019). </w:t>
      </w:r>
      <w:r w:rsidRPr="00656AE8">
        <w:rPr>
          <w:rFonts w:cs="Arial"/>
          <w:i/>
          <w:iCs/>
          <w:sz w:val="16"/>
          <w:szCs w:val="16"/>
        </w:rPr>
        <w:t>General Comment No 24: Children’s rights in the child justice system,</w:t>
      </w:r>
      <w:r w:rsidRPr="00656AE8">
        <w:rPr>
          <w:rFonts w:cs="Arial"/>
          <w:sz w:val="16"/>
          <w:szCs w:val="16"/>
        </w:rPr>
        <w:t xml:space="preserve"> UN Doc CRC/C/GC/24, </w:t>
      </w:r>
      <w:hyperlink r:id="rId85" w:history="1">
        <w:r w:rsidRPr="00656AE8">
          <w:rPr>
            <w:rStyle w:val="Hyperlink"/>
            <w:rFonts w:cs="Arial"/>
            <w:sz w:val="16"/>
            <w:szCs w:val="16"/>
          </w:rPr>
          <w:t>https://www.ohchr.org/en/documents/general-comments-and-recommendations/general-comment-no-24-2019-childrens-rights-child</w:t>
        </w:r>
      </w:hyperlink>
    </w:p>
  </w:endnote>
  <w:endnote w:id="83">
    <w:p w14:paraId="593B148B" w14:textId="77777777" w:rsidR="009D6C99" w:rsidRPr="00656AE8" w:rsidRDefault="009D6C99"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United Nations Human Rights Committee (2019). </w:t>
      </w:r>
      <w:r w:rsidRPr="00656AE8">
        <w:rPr>
          <w:rFonts w:cs="Arial"/>
          <w:i/>
          <w:iCs/>
          <w:sz w:val="16"/>
          <w:szCs w:val="16"/>
        </w:rPr>
        <w:t>General Comment No 36: Article 6: Right to Life</w:t>
      </w:r>
      <w:r w:rsidRPr="00656AE8">
        <w:rPr>
          <w:rFonts w:cs="Arial"/>
          <w:sz w:val="16"/>
          <w:szCs w:val="16"/>
        </w:rPr>
        <w:t xml:space="preserve">, UN Doc CCPR/C/GC/26, </w:t>
      </w:r>
      <w:hyperlink r:id="rId86" w:history="1">
        <w:r w:rsidRPr="00656AE8">
          <w:rPr>
            <w:rStyle w:val="Hyperlink"/>
            <w:rFonts w:cs="Arial"/>
            <w:sz w:val="16"/>
            <w:szCs w:val="16"/>
          </w:rPr>
          <w:t>https://docs.un.org/en/CCPR/C/GC/36</w:t>
        </w:r>
      </w:hyperlink>
      <w:r w:rsidRPr="00656AE8">
        <w:rPr>
          <w:rFonts w:cs="Arial"/>
          <w:sz w:val="16"/>
          <w:szCs w:val="16"/>
        </w:rPr>
        <w:t xml:space="preserve"> </w:t>
      </w:r>
    </w:p>
  </w:endnote>
  <w:endnote w:id="84">
    <w:p w14:paraId="047959C2" w14:textId="5B75949D" w:rsidR="008805E4" w:rsidRPr="00656AE8" w:rsidRDefault="008805E4" w:rsidP="00250BDE">
      <w:pPr>
        <w:pStyle w:val="EndnoteText"/>
        <w:contextualSpacing/>
        <w:rPr>
          <w:rFonts w:cs="Arial"/>
          <w:sz w:val="16"/>
          <w:szCs w:val="16"/>
          <w:lang w:val="en-US"/>
        </w:rPr>
      </w:pPr>
      <w:r w:rsidRPr="00656AE8">
        <w:rPr>
          <w:rStyle w:val="EndnoteReference"/>
          <w:rFonts w:cs="Arial"/>
          <w:sz w:val="16"/>
          <w:szCs w:val="16"/>
        </w:rPr>
        <w:endnoteRef/>
      </w:r>
      <w:r w:rsidRPr="00656AE8">
        <w:rPr>
          <w:rFonts w:cs="Arial"/>
          <w:sz w:val="16"/>
          <w:szCs w:val="16"/>
        </w:rPr>
        <w:t xml:space="preserve"> </w:t>
      </w:r>
      <w:r w:rsidRPr="00656AE8">
        <w:rPr>
          <w:rFonts w:cs="Arial"/>
          <w:sz w:val="16"/>
          <w:szCs w:val="16"/>
          <w:lang w:val="en-US"/>
        </w:rPr>
        <w:t xml:space="preserve">Rickard, D. (2024). </w:t>
      </w:r>
      <w:r w:rsidRPr="00656AE8">
        <w:rPr>
          <w:rFonts w:cs="Arial"/>
          <w:i/>
          <w:iCs/>
          <w:sz w:val="16"/>
          <w:szCs w:val="16"/>
          <w:lang w:val="en-US"/>
        </w:rPr>
        <w:t xml:space="preserve">Report of the Statutory Review of the Online Safety Act 2021, </w:t>
      </w:r>
      <w:hyperlink r:id="rId87" w:history="1">
        <w:r w:rsidRPr="00656AE8">
          <w:rPr>
            <w:rStyle w:val="Hyperlink"/>
            <w:rFonts w:cs="Arial"/>
            <w:sz w:val="16"/>
            <w:szCs w:val="16"/>
            <w:lang w:val="en-US"/>
          </w:rPr>
          <w:t>https://www.infrastructure.gov.au/sites/default/files/documents/report-of-the-statutory-review-of-the-online-safety-act-2021-february-2025.pdf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AFD7" w14:textId="77777777" w:rsidR="00F35CEA" w:rsidRPr="00707C53" w:rsidRDefault="00F35CEA" w:rsidP="00A6010E">
      <w:pPr>
        <w:spacing w:after="0" w:line="240" w:lineRule="auto"/>
      </w:pPr>
      <w:r w:rsidRPr="00707C53">
        <w:separator/>
      </w:r>
    </w:p>
  </w:footnote>
  <w:footnote w:type="continuationSeparator" w:id="0">
    <w:p w14:paraId="26CA7C02" w14:textId="77777777" w:rsidR="00F35CEA" w:rsidRPr="00707C53" w:rsidRDefault="00F35CEA" w:rsidP="00A6010E">
      <w:pPr>
        <w:spacing w:after="0" w:line="240" w:lineRule="auto"/>
      </w:pPr>
      <w:r w:rsidRPr="00707C5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2C17AC"/>
    <w:lvl w:ilvl="0">
      <w:start w:val="1"/>
      <w:numFmt w:val="decimal"/>
      <w:lvlText w:val="%1."/>
      <w:lvlJc w:val="left"/>
      <w:pPr>
        <w:tabs>
          <w:tab w:val="num" w:pos="360"/>
        </w:tabs>
        <w:ind w:left="360" w:hanging="360"/>
      </w:pPr>
    </w:lvl>
  </w:abstractNum>
  <w:abstractNum w:abstractNumId="1" w15:restartNumberingAfterBreak="0">
    <w:nsid w:val="01280EDD"/>
    <w:multiLevelType w:val="multilevel"/>
    <w:tmpl w:val="D1D8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3157D"/>
    <w:multiLevelType w:val="multilevel"/>
    <w:tmpl w:val="2CC8475C"/>
    <w:lvl w:ilvl="0">
      <w:start w:val="1"/>
      <w:numFmt w:val="decimal"/>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5F3F0B"/>
    <w:multiLevelType w:val="multilevel"/>
    <w:tmpl w:val="3B7C4FF0"/>
    <w:styleLink w:val="MultiList"/>
    <w:lvl w:ilvl="0">
      <w:start w:val="1"/>
      <w:numFmt w:val="decimal"/>
      <w:pStyle w:val="NumberParagraph"/>
      <w:lvlText w:val="%1."/>
      <w:lvlJc w:val="left"/>
      <w:pPr>
        <w:ind w:left="567" w:hanging="283"/>
      </w:pPr>
      <w:rPr>
        <w:rFonts w:hint="default"/>
        <w:color w:val="auto"/>
      </w:rPr>
    </w:lvl>
    <w:lvl w:ilvl="1">
      <w:start w:val="1"/>
      <w:numFmt w:val="lowerLetter"/>
      <w:lvlRestart w:val="0"/>
      <w:pStyle w:val="NumberParagraph2"/>
      <w:lvlText w:val="%2."/>
      <w:lvlJc w:val="left"/>
      <w:pPr>
        <w:ind w:left="851" w:hanging="284"/>
      </w:pPr>
      <w:rPr>
        <w:rFonts w:hint="default"/>
      </w:rPr>
    </w:lvl>
    <w:lvl w:ilvl="2">
      <w:start w:val="1"/>
      <w:numFmt w:val="bullet"/>
      <w:lvlRestart w:val="0"/>
      <w:pStyle w:val="NumberParagraph3"/>
      <w:lvlText w:val=""/>
      <w:lvlJc w:val="left"/>
      <w:pPr>
        <w:ind w:left="3968" w:hanging="170"/>
      </w:pPr>
      <w:rPr>
        <w:rFonts w:ascii="Symbol" w:hAnsi="Symbol" w:hint="default"/>
        <w:color w:val="auto"/>
      </w:rPr>
    </w:lvl>
    <w:lvl w:ilvl="3">
      <w:start w:val="1"/>
      <w:numFmt w:val="bullet"/>
      <w:pStyle w:val="NumberParagraph4"/>
      <w:lvlText w:val="o"/>
      <w:lvlJc w:val="left"/>
      <w:pPr>
        <w:ind w:left="4044" w:hanging="360"/>
      </w:pPr>
      <w:rPr>
        <w:rFonts w:ascii="Courier New" w:hAnsi="Courier New" w:cs="Courier New" w:hint="default"/>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4" w15:restartNumberingAfterBreak="0">
    <w:nsid w:val="0B097A3A"/>
    <w:multiLevelType w:val="multilevel"/>
    <w:tmpl w:val="BDA0482E"/>
    <w:numStyleLink w:val="Bullet"/>
  </w:abstractNum>
  <w:abstractNum w:abstractNumId="5" w15:restartNumberingAfterBreak="0">
    <w:nsid w:val="12B37F2B"/>
    <w:multiLevelType w:val="hybridMultilevel"/>
    <w:tmpl w:val="F364F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F6788"/>
    <w:multiLevelType w:val="multilevel"/>
    <w:tmpl w:val="26A8573A"/>
    <w:styleLink w:val="NumberList"/>
    <w:lvl w:ilvl="0">
      <w:start w:val="1"/>
      <w:numFmt w:val="decimal"/>
      <w:lvlText w:val="%1."/>
      <w:lvlJc w:val="left"/>
      <w:pPr>
        <w:ind w:left="284" w:firstLine="0"/>
      </w:pPr>
      <w:rPr>
        <w:rFonts w:hint="default"/>
      </w:rPr>
    </w:lvl>
    <w:lvl w:ilvl="1">
      <w:start w:val="1"/>
      <w:numFmt w:val="lowerLetter"/>
      <w:lvlRestart w:val="0"/>
      <w:lvlText w:val="%2."/>
      <w:lvlJc w:val="left"/>
      <w:pPr>
        <w:ind w:left="568" w:firstLine="0"/>
      </w:pPr>
      <w:rPr>
        <w:rFonts w:hint="default"/>
      </w:rPr>
    </w:lvl>
    <w:lvl w:ilvl="2">
      <w:start w:val="1"/>
      <w:numFmt w:val="bullet"/>
      <w:lvlRestart w:val="0"/>
      <w:lvlText w:val=""/>
      <w:lvlJc w:val="left"/>
      <w:pPr>
        <w:ind w:left="852" w:firstLine="0"/>
      </w:pPr>
      <w:rPr>
        <w:rFonts w:ascii="Symbol" w:hAnsi="Symbol" w:hint="default"/>
        <w:color w:val="auto"/>
      </w:rPr>
    </w:lvl>
    <w:lvl w:ilvl="3">
      <w:start w:val="1"/>
      <w:numFmt w:val="bullet"/>
      <w:lvlRestart w:val="0"/>
      <w:lvlText w:val=""/>
      <w:lvlJc w:val="left"/>
      <w:pPr>
        <w:ind w:left="1136" w:firstLine="0"/>
      </w:pPr>
      <w:rPr>
        <w:rFonts w:ascii="Symbol" w:hAnsi="Symbol" w:hint="default"/>
        <w:color w:val="auto"/>
      </w:rPr>
    </w:lvl>
    <w:lvl w:ilvl="4">
      <w:start w:val="1"/>
      <w:numFmt w:val="lowerLetter"/>
      <w:lvlText w:val="(%5)"/>
      <w:lvlJc w:val="left"/>
      <w:pPr>
        <w:tabs>
          <w:tab w:val="num" w:pos="2383"/>
        </w:tabs>
        <w:ind w:left="1420" w:firstLine="0"/>
      </w:pPr>
      <w:rPr>
        <w:rFonts w:hint="default"/>
      </w:rPr>
    </w:lvl>
    <w:lvl w:ilvl="5">
      <w:start w:val="1"/>
      <w:numFmt w:val="lowerRoman"/>
      <w:lvlText w:val="(%6)"/>
      <w:lvlJc w:val="left"/>
      <w:pPr>
        <w:tabs>
          <w:tab w:val="num" w:pos="2667"/>
        </w:tabs>
        <w:ind w:left="1704" w:firstLine="0"/>
      </w:pPr>
      <w:rPr>
        <w:rFonts w:hint="default"/>
      </w:rPr>
    </w:lvl>
    <w:lvl w:ilvl="6">
      <w:start w:val="1"/>
      <w:numFmt w:val="decimal"/>
      <w:lvlText w:val="%7."/>
      <w:lvlJc w:val="left"/>
      <w:pPr>
        <w:tabs>
          <w:tab w:val="num" w:pos="2951"/>
        </w:tabs>
        <w:ind w:left="1988" w:firstLine="0"/>
      </w:pPr>
      <w:rPr>
        <w:rFonts w:hint="default"/>
      </w:rPr>
    </w:lvl>
    <w:lvl w:ilvl="7">
      <w:start w:val="1"/>
      <w:numFmt w:val="lowerLetter"/>
      <w:lvlText w:val="%8."/>
      <w:lvlJc w:val="left"/>
      <w:pPr>
        <w:tabs>
          <w:tab w:val="num" w:pos="3235"/>
        </w:tabs>
        <w:ind w:left="2272" w:firstLine="0"/>
      </w:pPr>
      <w:rPr>
        <w:rFonts w:hint="default"/>
      </w:rPr>
    </w:lvl>
    <w:lvl w:ilvl="8">
      <w:start w:val="1"/>
      <w:numFmt w:val="lowerRoman"/>
      <w:lvlText w:val="%9."/>
      <w:lvlJc w:val="left"/>
      <w:pPr>
        <w:tabs>
          <w:tab w:val="num" w:pos="3519"/>
        </w:tabs>
        <w:ind w:left="2556" w:firstLine="0"/>
      </w:pPr>
      <w:rPr>
        <w:rFonts w:hint="default"/>
      </w:rPr>
    </w:lvl>
  </w:abstractNum>
  <w:abstractNum w:abstractNumId="7" w15:restartNumberingAfterBreak="0">
    <w:nsid w:val="16E172A6"/>
    <w:multiLevelType w:val="hybridMultilevel"/>
    <w:tmpl w:val="4FB68A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294188"/>
    <w:multiLevelType w:val="multilevel"/>
    <w:tmpl w:val="D1D8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25760"/>
    <w:multiLevelType w:val="hybridMultilevel"/>
    <w:tmpl w:val="9B72DB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E3A542B"/>
    <w:multiLevelType w:val="hybridMultilevel"/>
    <w:tmpl w:val="7BCCA19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1951916"/>
    <w:multiLevelType w:val="hybridMultilevel"/>
    <w:tmpl w:val="11CC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D307D"/>
    <w:multiLevelType w:val="multilevel"/>
    <w:tmpl w:val="BDA0482E"/>
    <w:styleLink w:val="Bullet"/>
    <w:lvl w:ilvl="0">
      <w:start w:val="1"/>
      <w:numFmt w:val="bullet"/>
      <w:pStyle w:val="BulletParagraph1"/>
      <w:lvlText w:val=""/>
      <w:lvlJc w:val="left"/>
      <w:pPr>
        <w:ind w:left="567" w:hanging="283"/>
      </w:pPr>
      <w:rPr>
        <w:rFonts w:ascii="Symbol" w:hAnsi="Symbol" w:hint="default"/>
        <w:color w:val="auto"/>
      </w:rPr>
    </w:lvl>
    <w:lvl w:ilvl="1">
      <w:start w:val="1"/>
      <w:numFmt w:val="bullet"/>
      <w:lvlRestart w:val="0"/>
      <w:pStyle w:val="BulletParagraph2"/>
      <w:lvlText w:val="◦"/>
      <w:lvlJc w:val="left"/>
      <w:pPr>
        <w:ind w:left="851" w:hanging="284"/>
      </w:pPr>
      <w:rPr>
        <w:rFonts w:ascii="Aptos" w:hAnsi="Aptos" w:hint="default"/>
        <w:color w:val="auto"/>
      </w:rPr>
    </w:lvl>
    <w:lvl w:ilvl="2">
      <w:start w:val="1"/>
      <w:numFmt w:val="bullet"/>
      <w:lvlRestart w:val="0"/>
      <w:pStyle w:val="BulletParagraph3"/>
      <w:lvlText w:val="▪"/>
      <w:lvlJc w:val="left"/>
      <w:pPr>
        <w:ind w:left="1134" w:hanging="283"/>
      </w:pPr>
      <w:rPr>
        <w:rFonts w:ascii="Aptos" w:hAnsi="Aptos" w:hint="default"/>
        <w:color w:val="auto"/>
      </w:rPr>
    </w:lvl>
    <w:lvl w:ilvl="3">
      <w:start w:val="1"/>
      <w:numFmt w:val="bullet"/>
      <w:lvlRestart w:val="0"/>
      <w:pStyle w:val="Bulletparagraph4"/>
      <w:lvlText w:val="▫"/>
      <w:lvlJc w:val="left"/>
      <w:pPr>
        <w:ind w:left="1418" w:hanging="284"/>
      </w:pPr>
      <w:rPr>
        <w:rFonts w:ascii="Aptos" w:hAnsi="Aptos"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3"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C76C90"/>
    <w:multiLevelType w:val="multilevel"/>
    <w:tmpl w:val="3B7C4FF0"/>
    <w:numStyleLink w:val="MultiList"/>
  </w:abstractNum>
  <w:abstractNum w:abstractNumId="15" w15:restartNumberingAfterBreak="0">
    <w:nsid w:val="33882F7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DD01EC"/>
    <w:multiLevelType w:val="multilevel"/>
    <w:tmpl w:val="D1D8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864FC5"/>
    <w:multiLevelType w:val="multilevel"/>
    <w:tmpl w:val="5D305450"/>
    <w:styleLink w:val="NumberedList"/>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8" w15:restartNumberingAfterBreak="0">
    <w:nsid w:val="3EF20746"/>
    <w:multiLevelType w:val="multilevel"/>
    <w:tmpl w:val="D1D8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E9018D"/>
    <w:multiLevelType w:val="hybridMultilevel"/>
    <w:tmpl w:val="37F07BA6"/>
    <w:lvl w:ilvl="0" w:tplc="D2F20B9E">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0" w15:restartNumberingAfterBreak="0">
    <w:nsid w:val="51544687"/>
    <w:multiLevelType w:val="multilevel"/>
    <w:tmpl w:val="2F98406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C916E8"/>
    <w:multiLevelType w:val="multilevel"/>
    <w:tmpl w:val="1122B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94EF2"/>
    <w:multiLevelType w:val="multilevel"/>
    <w:tmpl w:val="4F8AB9A2"/>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23" w15:restartNumberingAfterBreak="0">
    <w:nsid w:val="5FFC01A4"/>
    <w:multiLevelType w:val="multilevel"/>
    <w:tmpl w:val="58C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E370B"/>
    <w:multiLevelType w:val="multilevel"/>
    <w:tmpl w:val="3B7C4FF0"/>
    <w:numStyleLink w:val="MultiList"/>
  </w:abstractNum>
  <w:abstractNum w:abstractNumId="25" w15:restartNumberingAfterBreak="0">
    <w:nsid w:val="6395064F"/>
    <w:multiLevelType w:val="multilevel"/>
    <w:tmpl w:val="ED78C8DA"/>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26" w15:restartNumberingAfterBreak="0">
    <w:nsid w:val="6A3F44B8"/>
    <w:multiLevelType w:val="multilevel"/>
    <w:tmpl w:val="058AF966"/>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7" w15:restartNumberingAfterBreak="0">
    <w:nsid w:val="6B434719"/>
    <w:multiLevelType w:val="multilevel"/>
    <w:tmpl w:val="1122B8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2AB5476"/>
    <w:multiLevelType w:val="multilevel"/>
    <w:tmpl w:val="0C22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0B5F25"/>
    <w:multiLevelType w:val="multilevel"/>
    <w:tmpl w:val="4F68D3F2"/>
    <w:lvl w:ilvl="0">
      <w:start w:val="1"/>
      <w:numFmt w:val="decimal"/>
      <w:pStyle w:val="ListNumber"/>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DF90F0C"/>
    <w:multiLevelType w:val="multilevel"/>
    <w:tmpl w:val="D1D8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A41005"/>
    <w:multiLevelType w:val="multilevel"/>
    <w:tmpl w:val="3B7C4FF0"/>
    <w:numStyleLink w:val="MultiList"/>
  </w:abstractNum>
  <w:num w:numId="1" w16cid:durableId="973950286">
    <w:abstractNumId w:val="19"/>
  </w:num>
  <w:num w:numId="2" w16cid:durableId="63994847">
    <w:abstractNumId w:val="0"/>
  </w:num>
  <w:num w:numId="3" w16cid:durableId="920525404">
    <w:abstractNumId w:val="20"/>
  </w:num>
  <w:num w:numId="4" w16cid:durableId="2032295406">
    <w:abstractNumId w:val="20"/>
  </w:num>
  <w:num w:numId="5" w16cid:durableId="230118291">
    <w:abstractNumId w:val="20"/>
  </w:num>
  <w:num w:numId="6" w16cid:durableId="1970239011">
    <w:abstractNumId w:val="17"/>
  </w:num>
  <w:num w:numId="7" w16cid:durableId="374544711">
    <w:abstractNumId w:val="6"/>
  </w:num>
  <w:num w:numId="8" w16cid:durableId="684014088">
    <w:abstractNumId w:val="6"/>
  </w:num>
  <w:num w:numId="9" w16cid:durableId="2012902484">
    <w:abstractNumId w:val="20"/>
  </w:num>
  <w:num w:numId="10" w16cid:durableId="738820081">
    <w:abstractNumId w:val="2"/>
  </w:num>
  <w:num w:numId="11" w16cid:durableId="1206061036">
    <w:abstractNumId w:val="26"/>
  </w:num>
  <w:num w:numId="12" w16cid:durableId="1581284249">
    <w:abstractNumId w:val="3"/>
  </w:num>
  <w:num w:numId="13" w16cid:durableId="1399284782">
    <w:abstractNumId w:val="29"/>
  </w:num>
  <w:num w:numId="14" w16cid:durableId="179928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232688">
    <w:abstractNumId w:val="14"/>
  </w:num>
  <w:num w:numId="16" w16cid:durableId="847251051">
    <w:abstractNumId w:val="24"/>
  </w:num>
  <w:num w:numId="17" w16cid:durableId="83259952">
    <w:abstractNumId w:val="15"/>
  </w:num>
  <w:num w:numId="18" w16cid:durableId="842283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4187121">
    <w:abstractNumId w:val="31"/>
  </w:num>
  <w:num w:numId="20" w16cid:durableId="1832981465">
    <w:abstractNumId w:val="22"/>
  </w:num>
  <w:num w:numId="21" w16cid:durableId="882600152">
    <w:abstractNumId w:val="25"/>
  </w:num>
  <w:num w:numId="22" w16cid:durableId="899747276">
    <w:abstractNumId w:val="12"/>
  </w:num>
  <w:num w:numId="23" w16cid:durableId="376197225">
    <w:abstractNumId w:val="4"/>
  </w:num>
  <w:num w:numId="24" w16cid:durableId="818766471">
    <w:abstractNumId w:val="9"/>
  </w:num>
  <w:num w:numId="25" w16cid:durableId="1519351366">
    <w:abstractNumId w:val="11"/>
  </w:num>
  <w:num w:numId="26" w16cid:durableId="275455044">
    <w:abstractNumId w:val="7"/>
  </w:num>
  <w:num w:numId="27" w16cid:durableId="1665472777">
    <w:abstractNumId w:val="10"/>
  </w:num>
  <w:num w:numId="28" w16cid:durableId="32078370">
    <w:abstractNumId w:val="30"/>
  </w:num>
  <w:num w:numId="29" w16cid:durableId="813716527">
    <w:abstractNumId w:val="8"/>
  </w:num>
  <w:num w:numId="30" w16cid:durableId="945386702">
    <w:abstractNumId w:val="18"/>
  </w:num>
  <w:num w:numId="31" w16cid:durableId="704256369">
    <w:abstractNumId w:val="16"/>
  </w:num>
  <w:num w:numId="32" w16cid:durableId="1951887461">
    <w:abstractNumId w:val="1"/>
  </w:num>
  <w:num w:numId="33" w16cid:durableId="1314525174">
    <w:abstractNumId w:val="13"/>
  </w:num>
  <w:num w:numId="34" w16cid:durableId="221646248">
    <w:abstractNumId w:val="5"/>
  </w:num>
  <w:num w:numId="35" w16cid:durableId="410347682">
    <w:abstractNumId w:val="21"/>
  </w:num>
  <w:num w:numId="36" w16cid:durableId="1126199339">
    <w:abstractNumId w:val="27"/>
  </w:num>
  <w:num w:numId="37" w16cid:durableId="102001258">
    <w:abstractNumId w:val="28"/>
  </w:num>
  <w:num w:numId="38" w16cid:durableId="11109008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14"/>
    <w:rsid w:val="000015AC"/>
    <w:rsid w:val="00001A52"/>
    <w:rsid w:val="00002D7C"/>
    <w:rsid w:val="0000355F"/>
    <w:rsid w:val="00003926"/>
    <w:rsid w:val="00004E9F"/>
    <w:rsid w:val="00006DE1"/>
    <w:rsid w:val="00006FE7"/>
    <w:rsid w:val="000074A0"/>
    <w:rsid w:val="00007763"/>
    <w:rsid w:val="00007AFA"/>
    <w:rsid w:val="00010C37"/>
    <w:rsid w:val="00011FE7"/>
    <w:rsid w:val="000124EF"/>
    <w:rsid w:val="00012DFA"/>
    <w:rsid w:val="00012E39"/>
    <w:rsid w:val="00013265"/>
    <w:rsid w:val="00013848"/>
    <w:rsid w:val="00013EB9"/>
    <w:rsid w:val="00014294"/>
    <w:rsid w:val="00015CC5"/>
    <w:rsid w:val="0001654E"/>
    <w:rsid w:val="000165B4"/>
    <w:rsid w:val="000200CA"/>
    <w:rsid w:val="00020195"/>
    <w:rsid w:val="00022272"/>
    <w:rsid w:val="00022EBF"/>
    <w:rsid w:val="00023050"/>
    <w:rsid w:val="00025043"/>
    <w:rsid w:val="00025C0A"/>
    <w:rsid w:val="00025E97"/>
    <w:rsid w:val="00026176"/>
    <w:rsid w:val="00026429"/>
    <w:rsid w:val="00026667"/>
    <w:rsid w:val="000268FF"/>
    <w:rsid w:val="00027880"/>
    <w:rsid w:val="00027E9C"/>
    <w:rsid w:val="00030275"/>
    <w:rsid w:val="000306CE"/>
    <w:rsid w:val="000318D8"/>
    <w:rsid w:val="00031C2E"/>
    <w:rsid w:val="00031F4A"/>
    <w:rsid w:val="000334BB"/>
    <w:rsid w:val="000337FD"/>
    <w:rsid w:val="000348FA"/>
    <w:rsid w:val="00035336"/>
    <w:rsid w:val="000353FB"/>
    <w:rsid w:val="00035419"/>
    <w:rsid w:val="00037263"/>
    <w:rsid w:val="00040446"/>
    <w:rsid w:val="000416D7"/>
    <w:rsid w:val="00041973"/>
    <w:rsid w:val="0004234C"/>
    <w:rsid w:val="0004386C"/>
    <w:rsid w:val="00043AE8"/>
    <w:rsid w:val="0004472E"/>
    <w:rsid w:val="00046714"/>
    <w:rsid w:val="00047555"/>
    <w:rsid w:val="00050726"/>
    <w:rsid w:val="00050AB4"/>
    <w:rsid w:val="00051118"/>
    <w:rsid w:val="000512F8"/>
    <w:rsid w:val="00051816"/>
    <w:rsid w:val="00052483"/>
    <w:rsid w:val="00052DA8"/>
    <w:rsid w:val="0005476C"/>
    <w:rsid w:val="00055E73"/>
    <w:rsid w:val="0005657A"/>
    <w:rsid w:val="00057409"/>
    <w:rsid w:val="0005784A"/>
    <w:rsid w:val="00061145"/>
    <w:rsid w:val="0006176E"/>
    <w:rsid w:val="000619BA"/>
    <w:rsid w:val="0006277C"/>
    <w:rsid w:val="00063C56"/>
    <w:rsid w:val="00065129"/>
    <w:rsid w:val="0006585D"/>
    <w:rsid w:val="00066D69"/>
    <w:rsid w:val="00067330"/>
    <w:rsid w:val="00070518"/>
    <w:rsid w:val="000708BB"/>
    <w:rsid w:val="00070931"/>
    <w:rsid w:val="00070C06"/>
    <w:rsid w:val="00070DE8"/>
    <w:rsid w:val="00070FF9"/>
    <w:rsid w:val="000727EE"/>
    <w:rsid w:val="00072AB0"/>
    <w:rsid w:val="000748BD"/>
    <w:rsid w:val="000752C0"/>
    <w:rsid w:val="000757F1"/>
    <w:rsid w:val="00075E43"/>
    <w:rsid w:val="00076794"/>
    <w:rsid w:val="000775C3"/>
    <w:rsid w:val="00077C0F"/>
    <w:rsid w:val="00080976"/>
    <w:rsid w:val="000826BC"/>
    <w:rsid w:val="0008376D"/>
    <w:rsid w:val="00083B14"/>
    <w:rsid w:val="00084705"/>
    <w:rsid w:val="000847ED"/>
    <w:rsid w:val="00084CAB"/>
    <w:rsid w:val="000942FB"/>
    <w:rsid w:val="00095119"/>
    <w:rsid w:val="000952D8"/>
    <w:rsid w:val="0009599E"/>
    <w:rsid w:val="00095B61"/>
    <w:rsid w:val="000970EA"/>
    <w:rsid w:val="0009769F"/>
    <w:rsid w:val="00097E11"/>
    <w:rsid w:val="000A09A2"/>
    <w:rsid w:val="000A1980"/>
    <w:rsid w:val="000A1E59"/>
    <w:rsid w:val="000A1EAF"/>
    <w:rsid w:val="000A2936"/>
    <w:rsid w:val="000A2C56"/>
    <w:rsid w:val="000A3113"/>
    <w:rsid w:val="000A388A"/>
    <w:rsid w:val="000A3DCC"/>
    <w:rsid w:val="000A60C1"/>
    <w:rsid w:val="000A673C"/>
    <w:rsid w:val="000A6C8D"/>
    <w:rsid w:val="000B034F"/>
    <w:rsid w:val="000B0D13"/>
    <w:rsid w:val="000B1300"/>
    <w:rsid w:val="000B166A"/>
    <w:rsid w:val="000B1720"/>
    <w:rsid w:val="000B1C35"/>
    <w:rsid w:val="000B21F0"/>
    <w:rsid w:val="000B2FB6"/>
    <w:rsid w:val="000B39E6"/>
    <w:rsid w:val="000B4607"/>
    <w:rsid w:val="000B4DA2"/>
    <w:rsid w:val="000C01E9"/>
    <w:rsid w:val="000C06CA"/>
    <w:rsid w:val="000C12DE"/>
    <w:rsid w:val="000C4794"/>
    <w:rsid w:val="000C48A0"/>
    <w:rsid w:val="000C4B1C"/>
    <w:rsid w:val="000C4C31"/>
    <w:rsid w:val="000C52DF"/>
    <w:rsid w:val="000C52FC"/>
    <w:rsid w:val="000C5E6C"/>
    <w:rsid w:val="000C6EF8"/>
    <w:rsid w:val="000D008B"/>
    <w:rsid w:val="000D0F6B"/>
    <w:rsid w:val="000D12B2"/>
    <w:rsid w:val="000D1619"/>
    <w:rsid w:val="000D1DF1"/>
    <w:rsid w:val="000D2545"/>
    <w:rsid w:val="000D3ADF"/>
    <w:rsid w:val="000D5579"/>
    <w:rsid w:val="000D6775"/>
    <w:rsid w:val="000D6861"/>
    <w:rsid w:val="000D77EB"/>
    <w:rsid w:val="000D7AB4"/>
    <w:rsid w:val="000E007A"/>
    <w:rsid w:val="000E0C36"/>
    <w:rsid w:val="000E276C"/>
    <w:rsid w:val="000E2BD5"/>
    <w:rsid w:val="000E31B7"/>
    <w:rsid w:val="000E3578"/>
    <w:rsid w:val="000E36D6"/>
    <w:rsid w:val="000E45E5"/>
    <w:rsid w:val="000E51D2"/>
    <w:rsid w:val="000E5419"/>
    <w:rsid w:val="000F066F"/>
    <w:rsid w:val="000F108E"/>
    <w:rsid w:val="000F1F0C"/>
    <w:rsid w:val="000F2D64"/>
    <w:rsid w:val="000F34BD"/>
    <w:rsid w:val="000F3586"/>
    <w:rsid w:val="000F4CCC"/>
    <w:rsid w:val="000F5AA2"/>
    <w:rsid w:val="000F6684"/>
    <w:rsid w:val="000F69A0"/>
    <w:rsid w:val="000F6CC2"/>
    <w:rsid w:val="000F7663"/>
    <w:rsid w:val="000F78D2"/>
    <w:rsid w:val="000F7B66"/>
    <w:rsid w:val="00101083"/>
    <w:rsid w:val="0010116F"/>
    <w:rsid w:val="00101292"/>
    <w:rsid w:val="001025A8"/>
    <w:rsid w:val="00102660"/>
    <w:rsid w:val="00104701"/>
    <w:rsid w:val="0010493A"/>
    <w:rsid w:val="001064C5"/>
    <w:rsid w:val="00107AC5"/>
    <w:rsid w:val="00107CB6"/>
    <w:rsid w:val="00110573"/>
    <w:rsid w:val="001106DE"/>
    <w:rsid w:val="001107A1"/>
    <w:rsid w:val="0011277D"/>
    <w:rsid w:val="001137B3"/>
    <w:rsid w:val="00113943"/>
    <w:rsid w:val="001158A4"/>
    <w:rsid w:val="00115BCD"/>
    <w:rsid w:val="001164DD"/>
    <w:rsid w:val="00116E38"/>
    <w:rsid w:val="00120A2B"/>
    <w:rsid w:val="00120D6E"/>
    <w:rsid w:val="00120F88"/>
    <w:rsid w:val="001210E9"/>
    <w:rsid w:val="00121295"/>
    <w:rsid w:val="001213C9"/>
    <w:rsid w:val="0012151A"/>
    <w:rsid w:val="00122752"/>
    <w:rsid w:val="00122C42"/>
    <w:rsid w:val="001231E4"/>
    <w:rsid w:val="0012394C"/>
    <w:rsid w:val="00124C1B"/>
    <w:rsid w:val="001250FA"/>
    <w:rsid w:val="00125F94"/>
    <w:rsid w:val="00126304"/>
    <w:rsid w:val="00126548"/>
    <w:rsid w:val="001268E5"/>
    <w:rsid w:val="00126D05"/>
    <w:rsid w:val="0012702B"/>
    <w:rsid w:val="00127E66"/>
    <w:rsid w:val="00130E20"/>
    <w:rsid w:val="00131BE0"/>
    <w:rsid w:val="0013355D"/>
    <w:rsid w:val="001335FA"/>
    <w:rsid w:val="001344C1"/>
    <w:rsid w:val="001347A6"/>
    <w:rsid w:val="00134C95"/>
    <w:rsid w:val="00134CA6"/>
    <w:rsid w:val="00135A67"/>
    <w:rsid w:val="00135FC1"/>
    <w:rsid w:val="0014070D"/>
    <w:rsid w:val="00140FC8"/>
    <w:rsid w:val="00142047"/>
    <w:rsid w:val="001423DF"/>
    <w:rsid w:val="001442AF"/>
    <w:rsid w:val="0014775B"/>
    <w:rsid w:val="00147CBD"/>
    <w:rsid w:val="00151E90"/>
    <w:rsid w:val="0015310D"/>
    <w:rsid w:val="00153E42"/>
    <w:rsid w:val="001543EE"/>
    <w:rsid w:val="00154F2B"/>
    <w:rsid w:val="0015514F"/>
    <w:rsid w:val="00155AAA"/>
    <w:rsid w:val="001569BA"/>
    <w:rsid w:val="00156E31"/>
    <w:rsid w:val="00160918"/>
    <w:rsid w:val="00161B1A"/>
    <w:rsid w:val="00162375"/>
    <w:rsid w:val="00162F3C"/>
    <w:rsid w:val="001634F3"/>
    <w:rsid w:val="00163B07"/>
    <w:rsid w:val="00163D4E"/>
    <w:rsid w:val="00166536"/>
    <w:rsid w:val="00167052"/>
    <w:rsid w:val="001701D3"/>
    <w:rsid w:val="00173DDB"/>
    <w:rsid w:val="0017415E"/>
    <w:rsid w:val="00174A59"/>
    <w:rsid w:val="00174E94"/>
    <w:rsid w:val="00175CBF"/>
    <w:rsid w:val="001816C4"/>
    <w:rsid w:val="00182751"/>
    <w:rsid w:val="00182E5A"/>
    <w:rsid w:val="0018353C"/>
    <w:rsid w:val="00183FA1"/>
    <w:rsid w:val="001841B7"/>
    <w:rsid w:val="0018439D"/>
    <w:rsid w:val="00184AF7"/>
    <w:rsid w:val="00185340"/>
    <w:rsid w:val="00190705"/>
    <w:rsid w:val="00190860"/>
    <w:rsid w:val="001910A4"/>
    <w:rsid w:val="00192B0A"/>
    <w:rsid w:val="00193B99"/>
    <w:rsid w:val="001A0CF2"/>
    <w:rsid w:val="001A139A"/>
    <w:rsid w:val="001A19D0"/>
    <w:rsid w:val="001A22C7"/>
    <w:rsid w:val="001A248D"/>
    <w:rsid w:val="001A2BDD"/>
    <w:rsid w:val="001A30BC"/>
    <w:rsid w:val="001A3728"/>
    <w:rsid w:val="001A460A"/>
    <w:rsid w:val="001A57F6"/>
    <w:rsid w:val="001A68C5"/>
    <w:rsid w:val="001B0730"/>
    <w:rsid w:val="001B093E"/>
    <w:rsid w:val="001B19CD"/>
    <w:rsid w:val="001B5028"/>
    <w:rsid w:val="001B6716"/>
    <w:rsid w:val="001B6F94"/>
    <w:rsid w:val="001B753A"/>
    <w:rsid w:val="001B7AE8"/>
    <w:rsid w:val="001C082E"/>
    <w:rsid w:val="001C14DD"/>
    <w:rsid w:val="001C18BE"/>
    <w:rsid w:val="001C21AE"/>
    <w:rsid w:val="001C30E8"/>
    <w:rsid w:val="001C3A78"/>
    <w:rsid w:val="001C40D9"/>
    <w:rsid w:val="001C6034"/>
    <w:rsid w:val="001D01E7"/>
    <w:rsid w:val="001D1D79"/>
    <w:rsid w:val="001D2929"/>
    <w:rsid w:val="001D2E16"/>
    <w:rsid w:val="001D4AA2"/>
    <w:rsid w:val="001D6CFB"/>
    <w:rsid w:val="001D6FE5"/>
    <w:rsid w:val="001D7514"/>
    <w:rsid w:val="001D79DB"/>
    <w:rsid w:val="001E0778"/>
    <w:rsid w:val="001E08B8"/>
    <w:rsid w:val="001E0E9C"/>
    <w:rsid w:val="001E1CE2"/>
    <w:rsid w:val="001E1EFB"/>
    <w:rsid w:val="001E2DDB"/>
    <w:rsid w:val="001E3F22"/>
    <w:rsid w:val="001E6392"/>
    <w:rsid w:val="001F2445"/>
    <w:rsid w:val="001F3029"/>
    <w:rsid w:val="001F3E74"/>
    <w:rsid w:val="001F3F5D"/>
    <w:rsid w:val="001F5448"/>
    <w:rsid w:val="001F5706"/>
    <w:rsid w:val="001F5946"/>
    <w:rsid w:val="001F5A8E"/>
    <w:rsid w:val="001F5F8C"/>
    <w:rsid w:val="00200406"/>
    <w:rsid w:val="00203684"/>
    <w:rsid w:val="002037F2"/>
    <w:rsid w:val="002046A9"/>
    <w:rsid w:val="00204A57"/>
    <w:rsid w:val="0020505A"/>
    <w:rsid w:val="0020642F"/>
    <w:rsid w:val="00206E60"/>
    <w:rsid w:val="00206E94"/>
    <w:rsid w:val="0020714A"/>
    <w:rsid w:val="00207265"/>
    <w:rsid w:val="00207909"/>
    <w:rsid w:val="00207B4E"/>
    <w:rsid w:val="00210C37"/>
    <w:rsid w:val="0021101B"/>
    <w:rsid w:val="00211196"/>
    <w:rsid w:val="002112B3"/>
    <w:rsid w:val="00213352"/>
    <w:rsid w:val="0021338C"/>
    <w:rsid w:val="00215842"/>
    <w:rsid w:val="00216225"/>
    <w:rsid w:val="00221756"/>
    <w:rsid w:val="00222B06"/>
    <w:rsid w:val="0022350A"/>
    <w:rsid w:val="002249F5"/>
    <w:rsid w:val="00225E53"/>
    <w:rsid w:val="002269B4"/>
    <w:rsid w:val="00227BE5"/>
    <w:rsid w:val="00230043"/>
    <w:rsid w:val="00230D4D"/>
    <w:rsid w:val="0023122C"/>
    <w:rsid w:val="002316D0"/>
    <w:rsid w:val="00231759"/>
    <w:rsid w:val="00232693"/>
    <w:rsid w:val="00232EFA"/>
    <w:rsid w:val="002330CA"/>
    <w:rsid w:val="002331B9"/>
    <w:rsid w:val="00233A15"/>
    <w:rsid w:val="00233B83"/>
    <w:rsid w:val="00233E8F"/>
    <w:rsid w:val="00235D1B"/>
    <w:rsid w:val="00235D39"/>
    <w:rsid w:val="00235F9A"/>
    <w:rsid w:val="002368CB"/>
    <w:rsid w:val="00237A0F"/>
    <w:rsid w:val="00237B2A"/>
    <w:rsid w:val="00240253"/>
    <w:rsid w:val="002408C1"/>
    <w:rsid w:val="00240E30"/>
    <w:rsid w:val="002417DF"/>
    <w:rsid w:val="00242BFF"/>
    <w:rsid w:val="00244B44"/>
    <w:rsid w:val="00245A2F"/>
    <w:rsid w:val="0024708D"/>
    <w:rsid w:val="00250065"/>
    <w:rsid w:val="00250092"/>
    <w:rsid w:val="00250BDE"/>
    <w:rsid w:val="00250C6A"/>
    <w:rsid w:val="00250E88"/>
    <w:rsid w:val="00251BD6"/>
    <w:rsid w:val="00252BCA"/>
    <w:rsid w:val="00253089"/>
    <w:rsid w:val="00254AA3"/>
    <w:rsid w:val="00255786"/>
    <w:rsid w:val="00256E87"/>
    <w:rsid w:val="0025735E"/>
    <w:rsid w:val="00260A9D"/>
    <w:rsid w:val="00263659"/>
    <w:rsid w:val="00263C01"/>
    <w:rsid w:val="00264A1A"/>
    <w:rsid w:val="00265616"/>
    <w:rsid w:val="00272E0D"/>
    <w:rsid w:val="0027304A"/>
    <w:rsid w:val="00273C4D"/>
    <w:rsid w:val="0028079F"/>
    <w:rsid w:val="002808F0"/>
    <w:rsid w:val="0028144F"/>
    <w:rsid w:val="00281864"/>
    <w:rsid w:val="00281960"/>
    <w:rsid w:val="00281E28"/>
    <w:rsid w:val="00282D38"/>
    <w:rsid w:val="00282FBB"/>
    <w:rsid w:val="00283E6F"/>
    <w:rsid w:val="0028458F"/>
    <w:rsid w:val="00284716"/>
    <w:rsid w:val="00284ACE"/>
    <w:rsid w:val="00284D41"/>
    <w:rsid w:val="00285571"/>
    <w:rsid w:val="00285DBC"/>
    <w:rsid w:val="00286014"/>
    <w:rsid w:val="0028771C"/>
    <w:rsid w:val="00287E32"/>
    <w:rsid w:val="00287FB6"/>
    <w:rsid w:val="00291FF9"/>
    <w:rsid w:val="00292455"/>
    <w:rsid w:val="00292F3A"/>
    <w:rsid w:val="002948FA"/>
    <w:rsid w:val="0029557E"/>
    <w:rsid w:val="00295777"/>
    <w:rsid w:val="00296C35"/>
    <w:rsid w:val="0029739B"/>
    <w:rsid w:val="00297EEA"/>
    <w:rsid w:val="002A21EF"/>
    <w:rsid w:val="002A607C"/>
    <w:rsid w:val="002A74DA"/>
    <w:rsid w:val="002A7FB4"/>
    <w:rsid w:val="002B16C1"/>
    <w:rsid w:val="002B1F05"/>
    <w:rsid w:val="002B2767"/>
    <w:rsid w:val="002B2B59"/>
    <w:rsid w:val="002B4021"/>
    <w:rsid w:val="002B4A3C"/>
    <w:rsid w:val="002B4F61"/>
    <w:rsid w:val="002B5014"/>
    <w:rsid w:val="002B782B"/>
    <w:rsid w:val="002B7988"/>
    <w:rsid w:val="002C03C0"/>
    <w:rsid w:val="002C03E0"/>
    <w:rsid w:val="002C156B"/>
    <w:rsid w:val="002C15FF"/>
    <w:rsid w:val="002C28DB"/>
    <w:rsid w:val="002C4632"/>
    <w:rsid w:val="002C47A0"/>
    <w:rsid w:val="002C49BD"/>
    <w:rsid w:val="002C517C"/>
    <w:rsid w:val="002C5410"/>
    <w:rsid w:val="002C59D9"/>
    <w:rsid w:val="002C5E6D"/>
    <w:rsid w:val="002C63F7"/>
    <w:rsid w:val="002C65E5"/>
    <w:rsid w:val="002C69FF"/>
    <w:rsid w:val="002C730B"/>
    <w:rsid w:val="002C740A"/>
    <w:rsid w:val="002C7CDD"/>
    <w:rsid w:val="002D39F3"/>
    <w:rsid w:val="002D435C"/>
    <w:rsid w:val="002D472C"/>
    <w:rsid w:val="002D51E6"/>
    <w:rsid w:val="002D5EEC"/>
    <w:rsid w:val="002D6377"/>
    <w:rsid w:val="002D6879"/>
    <w:rsid w:val="002D73B9"/>
    <w:rsid w:val="002D784E"/>
    <w:rsid w:val="002E088A"/>
    <w:rsid w:val="002E1382"/>
    <w:rsid w:val="002E198E"/>
    <w:rsid w:val="002E1B57"/>
    <w:rsid w:val="002E1D0F"/>
    <w:rsid w:val="002E3910"/>
    <w:rsid w:val="002E4D73"/>
    <w:rsid w:val="002E50AC"/>
    <w:rsid w:val="002E6110"/>
    <w:rsid w:val="002E6223"/>
    <w:rsid w:val="002E78E6"/>
    <w:rsid w:val="002F0136"/>
    <w:rsid w:val="002F2002"/>
    <w:rsid w:val="002F2818"/>
    <w:rsid w:val="002F2BE1"/>
    <w:rsid w:val="002F5F54"/>
    <w:rsid w:val="002F677B"/>
    <w:rsid w:val="00300BF8"/>
    <w:rsid w:val="00301B5D"/>
    <w:rsid w:val="00302156"/>
    <w:rsid w:val="00302754"/>
    <w:rsid w:val="00302C0E"/>
    <w:rsid w:val="003040A6"/>
    <w:rsid w:val="00304E4F"/>
    <w:rsid w:val="00304E84"/>
    <w:rsid w:val="00305A45"/>
    <w:rsid w:val="00307E6A"/>
    <w:rsid w:val="00310E44"/>
    <w:rsid w:val="00315156"/>
    <w:rsid w:val="003151A4"/>
    <w:rsid w:val="003167A7"/>
    <w:rsid w:val="003167A9"/>
    <w:rsid w:val="0031691B"/>
    <w:rsid w:val="00322525"/>
    <w:rsid w:val="00323121"/>
    <w:rsid w:val="00323595"/>
    <w:rsid w:val="003240E9"/>
    <w:rsid w:val="00324901"/>
    <w:rsid w:val="00325304"/>
    <w:rsid w:val="00325F69"/>
    <w:rsid w:val="00330515"/>
    <w:rsid w:val="00330BC7"/>
    <w:rsid w:val="00330BEF"/>
    <w:rsid w:val="00334050"/>
    <w:rsid w:val="0033456A"/>
    <w:rsid w:val="003346C4"/>
    <w:rsid w:val="003346E3"/>
    <w:rsid w:val="003367DC"/>
    <w:rsid w:val="00340B1E"/>
    <w:rsid w:val="003412D6"/>
    <w:rsid w:val="00341B87"/>
    <w:rsid w:val="00342AA6"/>
    <w:rsid w:val="00342DA9"/>
    <w:rsid w:val="003444C7"/>
    <w:rsid w:val="00345883"/>
    <w:rsid w:val="00346495"/>
    <w:rsid w:val="0034679C"/>
    <w:rsid w:val="00346DF9"/>
    <w:rsid w:val="003470F3"/>
    <w:rsid w:val="003505F5"/>
    <w:rsid w:val="00350C5D"/>
    <w:rsid w:val="00353F97"/>
    <w:rsid w:val="00354314"/>
    <w:rsid w:val="00354D16"/>
    <w:rsid w:val="0035502C"/>
    <w:rsid w:val="003561B4"/>
    <w:rsid w:val="003564A9"/>
    <w:rsid w:val="00356CEC"/>
    <w:rsid w:val="003604B5"/>
    <w:rsid w:val="00361750"/>
    <w:rsid w:val="00361EF3"/>
    <w:rsid w:val="00362594"/>
    <w:rsid w:val="00363129"/>
    <w:rsid w:val="003651AF"/>
    <w:rsid w:val="003658E3"/>
    <w:rsid w:val="00366AEC"/>
    <w:rsid w:val="0036784F"/>
    <w:rsid w:val="0037055D"/>
    <w:rsid w:val="00370C97"/>
    <w:rsid w:val="0037219A"/>
    <w:rsid w:val="00374C25"/>
    <w:rsid w:val="00374DC9"/>
    <w:rsid w:val="00374E3C"/>
    <w:rsid w:val="00375ADF"/>
    <w:rsid w:val="00375F7E"/>
    <w:rsid w:val="00376222"/>
    <w:rsid w:val="003769CF"/>
    <w:rsid w:val="003770A5"/>
    <w:rsid w:val="0037739B"/>
    <w:rsid w:val="00380CB9"/>
    <w:rsid w:val="00381289"/>
    <w:rsid w:val="0038158E"/>
    <w:rsid w:val="00382CFA"/>
    <w:rsid w:val="0038410C"/>
    <w:rsid w:val="00384944"/>
    <w:rsid w:val="00386241"/>
    <w:rsid w:val="003868BA"/>
    <w:rsid w:val="00386988"/>
    <w:rsid w:val="00390036"/>
    <w:rsid w:val="003905EC"/>
    <w:rsid w:val="00390FAF"/>
    <w:rsid w:val="00392576"/>
    <w:rsid w:val="003927FC"/>
    <w:rsid w:val="00393B0F"/>
    <w:rsid w:val="00393C51"/>
    <w:rsid w:val="00393F11"/>
    <w:rsid w:val="003949FA"/>
    <w:rsid w:val="00395F9A"/>
    <w:rsid w:val="003972FA"/>
    <w:rsid w:val="00397EF5"/>
    <w:rsid w:val="003A1652"/>
    <w:rsid w:val="003A17EF"/>
    <w:rsid w:val="003A236D"/>
    <w:rsid w:val="003A3CFB"/>
    <w:rsid w:val="003A4122"/>
    <w:rsid w:val="003A45AC"/>
    <w:rsid w:val="003A630A"/>
    <w:rsid w:val="003A6A33"/>
    <w:rsid w:val="003A73ED"/>
    <w:rsid w:val="003B01A6"/>
    <w:rsid w:val="003B183C"/>
    <w:rsid w:val="003B2146"/>
    <w:rsid w:val="003B2375"/>
    <w:rsid w:val="003B2A60"/>
    <w:rsid w:val="003B32CF"/>
    <w:rsid w:val="003B33FB"/>
    <w:rsid w:val="003B376E"/>
    <w:rsid w:val="003B38A3"/>
    <w:rsid w:val="003B3E0B"/>
    <w:rsid w:val="003B66C5"/>
    <w:rsid w:val="003B6FE3"/>
    <w:rsid w:val="003B700C"/>
    <w:rsid w:val="003B7121"/>
    <w:rsid w:val="003B7791"/>
    <w:rsid w:val="003C1AEA"/>
    <w:rsid w:val="003C1DE5"/>
    <w:rsid w:val="003C2BC8"/>
    <w:rsid w:val="003C2CB9"/>
    <w:rsid w:val="003C2D09"/>
    <w:rsid w:val="003C35BE"/>
    <w:rsid w:val="003C35DF"/>
    <w:rsid w:val="003C4D2D"/>
    <w:rsid w:val="003C56E1"/>
    <w:rsid w:val="003C5B97"/>
    <w:rsid w:val="003C611F"/>
    <w:rsid w:val="003D0D1C"/>
    <w:rsid w:val="003D20B2"/>
    <w:rsid w:val="003D36E0"/>
    <w:rsid w:val="003D3DB1"/>
    <w:rsid w:val="003D3F19"/>
    <w:rsid w:val="003D59E8"/>
    <w:rsid w:val="003D5D65"/>
    <w:rsid w:val="003D6E70"/>
    <w:rsid w:val="003D704D"/>
    <w:rsid w:val="003D75F1"/>
    <w:rsid w:val="003E00EA"/>
    <w:rsid w:val="003E03D0"/>
    <w:rsid w:val="003E3177"/>
    <w:rsid w:val="003E383A"/>
    <w:rsid w:val="003E3A70"/>
    <w:rsid w:val="003E44A7"/>
    <w:rsid w:val="003E4AA8"/>
    <w:rsid w:val="003E4BD5"/>
    <w:rsid w:val="003E4E19"/>
    <w:rsid w:val="003E5799"/>
    <w:rsid w:val="003E6F57"/>
    <w:rsid w:val="003F13EC"/>
    <w:rsid w:val="003F1429"/>
    <w:rsid w:val="003F1A76"/>
    <w:rsid w:val="003F1E49"/>
    <w:rsid w:val="003F1ED9"/>
    <w:rsid w:val="003F1EFD"/>
    <w:rsid w:val="003F24B7"/>
    <w:rsid w:val="003F2CDD"/>
    <w:rsid w:val="003F32D1"/>
    <w:rsid w:val="003F3588"/>
    <w:rsid w:val="003F3CA1"/>
    <w:rsid w:val="003F4168"/>
    <w:rsid w:val="003F444D"/>
    <w:rsid w:val="003F4600"/>
    <w:rsid w:val="003F5181"/>
    <w:rsid w:val="003F547C"/>
    <w:rsid w:val="003F5C5D"/>
    <w:rsid w:val="003F6170"/>
    <w:rsid w:val="003F6A6D"/>
    <w:rsid w:val="003F7500"/>
    <w:rsid w:val="003F7D68"/>
    <w:rsid w:val="003F7E0B"/>
    <w:rsid w:val="00400746"/>
    <w:rsid w:val="00400B90"/>
    <w:rsid w:val="00401A29"/>
    <w:rsid w:val="00401BB6"/>
    <w:rsid w:val="00402C0A"/>
    <w:rsid w:val="00403FA7"/>
    <w:rsid w:val="004040B2"/>
    <w:rsid w:val="0040421A"/>
    <w:rsid w:val="00405392"/>
    <w:rsid w:val="0040600C"/>
    <w:rsid w:val="00406BB1"/>
    <w:rsid w:val="00407000"/>
    <w:rsid w:val="004079B3"/>
    <w:rsid w:val="0041021C"/>
    <w:rsid w:val="004109D1"/>
    <w:rsid w:val="00410C7C"/>
    <w:rsid w:val="00410EC0"/>
    <w:rsid w:val="00411380"/>
    <w:rsid w:val="00412D86"/>
    <w:rsid w:val="0041302C"/>
    <w:rsid w:val="00413718"/>
    <w:rsid w:val="0041391B"/>
    <w:rsid w:val="0041439D"/>
    <w:rsid w:val="004145C8"/>
    <w:rsid w:val="00414611"/>
    <w:rsid w:val="00415C19"/>
    <w:rsid w:val="00415FC6"/>
    <w:rsid w:val="0041691F"/>
    <w:rsid w:val="00416959"/>
    <w:rsid w:val="00417953"/>
    <w:rsid w:val="00417A85"/>
    <w:rsid w:val="00417AFB"/>
    <w:rsid w:val="00417B54"/>
    <w:rsid w:val="00420A40"/>
    <w:rsid w:val="00420BF4"/>
    <w:rsid w:val="00420C0B"/>
    <w:rsid w:val="004215CB"/>
    <w:rsid w:val="004236AA"/>
    <w:rsid w:val="00423754"/>
    <w:rsid w:val="00423879"/>
    <w:rsid w:val="00423AF9"/>
    <w:rsid w:val="00423F15"/>
    <w:rsid w:val="00423F2A"/>
    <w:rsid w:val="004240CE"/>
    <w:rsid w:val="004241FE"/>
    <w:rsid w:val="004243BC"/>
    <w:rsid w:val="00424FE5"/>
    <w:rsid w:val="00425A1E"/>
    <w:rsid w:val="004267ED"/>
    <w:rsid w:val="00427CB1"/>
    <w:rsid w:val="00430489"/>
    <w:rsid w:val="00430B31"/>
    <w:rsid w:val="00430EBC"/>
    <w:rsid w:val="004310DE"/>
    <w:rsid w:val="0043196F"/>
    <w:rsid w:val="004319F0"/>
    <w:rsid w:val="00431C97"/>
    <w:rsid w:val="00433889"/>
    <w:rsid w:val="00433E51"/>
    <w:rsid w:val="004340F6"/>
    <w:rsid w:val="00434A79"/>
    <w:rsid w:val="00436699"/>
    <w:rsid w:val="00437C43"/>
    <w:rsid w:val="00437CAB"/>
    <w:rsid w:val="00442343"/>
    <w:rsid w:val="004432BE"/>
    <w:rsid w:val="00443F54"/>
    <w:rsid w:val="004459E4"/>
    <w:rsid w:val="00446CF4"/>
    <w:rsid w:val="00447C77"/>
    <w:rsid w:val="00450DE3"/>
    <w:rsid w:val="00450E40"/>
    <w:rsid w:val="00450F0A"/>
    <w:rsid w:val="00451DB4"/>
    <w:rsid w:val="0045209C"/>
    <w:rsid w:val="00453480"/>
    <w:rsid w:val="0045407F"/>
    <w:rsid w:val="00454141"/>
    <w:rsid w:val="00454A34"/>
    <w:rsid w:val="004550A8"/>
    <w:rsid w:val="004550F7"/>
    <w:rsid w:val="00456DD0"/>
    <w:rsid w:val="004612B1"/>
    <w:rsid w:val="00462266"/>
    <w:rsid w:val="00462FC6"/>
    <w:rsid w:val="00463E34"/>
    <w:rsid w:val="00464316"/>
    <w:rsid w:val="0046640E"/>
    <w:rsid w:val="00466508"/>
    <w:rsid w:val="00474900"/>
    <w:rsid w:val="00474A87"/>
    <w:rsid w:val="004764A2"/>
    <w:rsid w:val="00480B5E"/>
    <w:rsid w:val="00481149"/>
    <w:rsid w:val="00481544"/>
    <w:rsid w:val="00482F94"/>
    <w:rsid w:val="00486353"/>
    <w:rsid w:val="004869D0"/>
    <w:rsid w:val="0048749A"/>
    <w:rsid w:val="00490BEC"/>
    <w:rsid w:val="00492DFF"/>
    <w:rsid w:val="00494235"/>
    <w:rsid w:val="004944B0"/>
    <w:rsid w:val="00497FAB"/>
    <w:rsid w:val="004A04EB"/>
    <w:rsid w:val="004A4C29"/>
    <w:rsid w:val="004A6281"/>
    <w:rsid w:val="004A7300"/>
    <w:rsid w:val="004A74BA"/>
    <w:rsid w:val="004A7EE7"/>
    <w:rsid w:val="004B10B6"/>
    <w:rsid w:val="004B22D5"/>
    <w:rsid w:val="004B2733"/>
    <w:rsid w:val="004B2D4B"/>
    <w:rsid w:val="004B3532"/>
    <w:rsid w:val="004B5566"/>
    <w:rsid w:val="004B622D"/>
    <w:rsid w:val="004B62D2"/>
    <w:rsid w:val="004B72F3"/>
    <w:rsid w:val="004C0524"/>
    <w:rsid w:val="004C0770"/>
    <w:rsid w:val="004C09FA"/>
    <w:rsid w:val="004C0F02"/>
    <w:rsid w:val="004C11EF"/>
    <w:rsid w:val="004C1254"/>
    <w:rsid w:val="004C2130"/>
    <w:rsid w:val="004C286D"/>
    <w:rsid w:val="004C2D43"/>
    <w:rsid w:val="004C3770"/>
    <w:rsid w:val="004C4651"/>
    <w:rsid w:val="004C5251"/>
    <w:rsid w:val="004C6504"/>
    <w:rsid w:val="004D13FC"/>
    <w:rsid w:val="004D27CB"/>
    <w:rsid w:val="004D3F57"/>
    <w:rsid w:val="004D61F6"/>
    <w:rsid w:val="004D6495"/>
    <w:rsid w:val="004D6B7F"/>
    <w:rsid w:val="004D73A0"/>
    <w:rsid w:val="004E023E"/>
    <w:rsid w:val="004E0437"/>
    <w:rsid w:val="004E105D"/>
    <w:rsid w:val="004E1C51"/>
    <w:rsid w:val="004E338F"/>
    <w:rsid w:val="004E5E24"/>
    <w:rsid w:val="004E6642"/>
    <w:rsid w:val="004E6F19"/>
    <w:rsid w:val="004F0E44"/>
    <w:rsid w:val="004F1169"/>
    <w:rsid w:val="004F2277"/>
    <w:rsid w:val="004F2BFD"/>
    <w:rsid w:val="004F3F1D"/>
    <w:rsid w:val="004F3F70"/>
    <w:rsid w:val="004F4E1C"/>
    <w:rsid w:val="004F5B3E"/>
    <w:rsid w:val="004F5E13"/>
    <w:rsid w:val="004F6149"/>
    <w:rsid w:val="004F6169"/>
    <w:rsid w:val="004F7A47"/>
    <w:rsid w:val="00500931"/>
    <w:rsid w:val="00500DED"/>
    <w:rsid w:val="0050164B"/>
    <w:rsid w:val="00502223"/>
    <w:rsid w:val="00502348"/>
    <w:rsid w:val="00505586"/>
    <w:rsid w:val="00505615"/>
    <w:rsid w:val="00505DC9"/>
    <w:rsid w:val="0051394C"/>
    <w:rsid w:val="00513A27"/>
    <w:rsid w:val="00513FC7"/>
    <w:rsid w:val="00514434"/>
    <w:rsid w:val="00514662"/>
    <w:rsid w:val="0051548E"/>
    <w:rsid w:val="00515A4A"/>
    <w:rsid w:val="00515C31"/>
    <w:rsid w:val="00516511"/>
    <w:rsid w:val="00516689"/>
    <w:rsid w:val="00517A4E"/>
    <w:rsid w:val="00517E62"/>
    <w:rsid w:val="00517EC2"/>
    <w:rsid w:val="00520914"/>
    <w:rsid w:val="00520AF0"/>
    <w:rsid w:val="005216E8"/>
    <w:rsid w:val="00521EE3"/>
    <w:rsid w:val="005221CB"/>
    <w:rsid w:val="00524790"/>
    <w:rsid w:val="00525A9E"/>
    <w:rsid w:val="0052646E"/>
    <w:rsid w:val="005264E5"/>
    <w:rsid w:val="0052667E"/>
    <w:rsid w:val="00526756"/>
    <w:rsid w:val="00527B6E"/>
    <w:rsid w:val="00530309"/>
    <w:rsid w:val="0053088C"/>
    <w:rsid w:val="005316A6"/>
    <w:rsid w:val="00532EDB"/>
    <w:rsid w:val="005330E1"/>
    <w:rsid w:val="00533272"/>
    <w:rsid w:val="00533344"/>
    <w:rsid w:val="00533D65"/>
    <w:rsid w:val="00533DAC"/>
    <w:rsid w:val="00534165"/>
    <w:rsid w:val="00535C14"/>
    <w:rsid w:val="00535F82"/>
    <w:rsid w:val="005363D3"/>
    <w:rsid w:val="005370A7"/>
    <w:rsid w:val="005375F4"/>
    <w:rsid w:val="00537F4D"/>
    <w:rsid w:val="005401C8"/>
    <w:rsid w:val="005412BD"/>
    <w:rsid w:val="00542300"/>
    <w:rsid w:val="00543A5F"/>
    <w:rsid w:val="0054459C"/>
    <w:rsid w:val="00545102"/>
    <w:rsid w:val="00545D34"/>
    <w:rsid w:val="00545ECE"/>
    <w:rsid w:val="0055028A"/>
    <w:rsid w:val="00550400"/>
    <w:rsid w:val="0055170F"/>
    <w:rsid w:val="00551F97"/>
    <w:rsid w:val="005524AE"/>
    <w:rsid w:val="00552DF9"/>
    <w:rsid w:val="00552F48"/>
    <w:rsid w:val="0055379A"/>
    <w:rsid w:val="00553E4B"/>
    <w:rsid w:val="00555EAE"/>
    <w:rsid w:val="00556226"/>
    <w:rsid w:val="00556699"/>
    <w:rsid w:val="005572A3"/>
    <w:rsid w:val="0056082D"/>
    <w:rsid w:val="00560E78"/>
    <w:rsid w:val="005634DF"/>
    <w:rsid w:val="0056373E"/>
    <w:rsid w:val="005639D3"/>
    <w:rsid w:val="00563D87"/>
    <w:rsid w:val="00563E15"/>
    <w:rsid w:val="00563F54"/>
    <w:rsid w:val="0056449E"/>
    <w:rsid w:val="00564ED0"/>
    <w:rsid w:val="005655A8"/>
    <w:rsid w:val="00566599"/>
    <w:rsid w:val="00566A76"/>
    <w:rsid w:val="005677A5"/>
    <w:rsid w:val="00571223"/>
    <w:rsid w:val="00571951"/>
    <w:rsid w:val="00571E86"/>
    <w:rsid w:val="0057388C"/>
    <w:rsid w:val="00573C87"/>
    <w:rsid w:val="0057547C"/>
    <w:rsid w:val="00576304"/>
    <w:rsid w:val="00576C1D"/>
    <w:rsid w:val="00576FC3"/>
    <w:rsid w:val="00577808"/>
    <w:rsid w:val="0058030D"/>
    <w:rsid w:val="005803E6"/>
    <w:rsid w:val="00581678"/>
    <w:rsid w:val="00581A73"/>
    <w:rsid w:val="00581EC6"/>
    <w:rsid w:val="00581F18"/>
    <w:rsid w:val="00582435"/>
    <w:rsid w:val="00582DD4"/>
    <w:rsid w:val="00582F15"/>
    <w:rsid w:val="00583703"/>
    <w:rsid w:val="00583BD3"/>
    <w:rsid w:val="00586469"/>
    <w:rsid w:val="00590A13"/>
    <w:rsid w:val="00590E32"/>
    <w:rsid w:val="00591873"/>
    <w:rsid w:val="0059210F"/>
    <w:rsid w:val="005924C4"/>
    <w:rsid w:val="00593649"/>
    <w:rsid w:val="005937C3"/>
    <w:rsid w:val="00594570"/>
    <w:rsid w:val="0059502B"/>
    <w:rsid w:val="0059566D"/>
    <w:rsid w:val="00596DEE"/>
    <w:rsid w:val="00597385"/>
    <w:rsid w:val="005974B2"/>
    <w:rsid w:val="00597D14"/>
    <w:rsid w:val="005A12B7"/>
    <w:rsid w:val="005A200F"/>
    <w:rsid w:val="005A2271"/>
    <w:rsid w:val="005A2BB4"/>
    <w:rsid w:val="005A307D"/>
    <w:rsid w:val="005A3AB3"/>
    <w:rsid w:val="005A3B8F"/>
    <w:rsid w:val="005A44D9"/>
    <w:rsid w:val="005A4D95"/>
    <w:rsid w:val="005A641B"/>
    <w:rsid w:val="005A65D9"/>
    <w:rsid w:val="005A66A9"/>
    <w:rsid w:val="005A6C5A"/>
    <w:rsid w:val="005A70CD"/>
    <w:rsid w:val="005B340A"/>
    <w:rsid w:val="005B3FAD"/>
    <w:rsid w:val="005B46AA"/>
    <w:rsid w:val="005B4AD1"/>
    <w:rsid w:val="005B54E9"/>
    <w:rsid w:val="005B5A31"/>
    <w:rsid w:val="005B67C5"/>
    <w:rsid w:val="005B6F50"/>
    <w:rsid w:val="005C0809"/>
    <w:rsid w:val="005C1467"/>
    <w:rsid w:val="005C32F2"/>
    <w:rsid w:val="005C345C"/>
    <w:rsid w:val="005C4036"/>
    <w:rsid w:val="005C4E7C"/>
    <w:rsid w:val="005C5282"/>
    <w:rsid w:val="005C56FD"/>
    <w:rsid w:val="005C7555"/>
    <w:rsid w:val="005D112F"/>
    <w:rsid w:val="005D19BA"/>
    <w:rsid w:val="005D1C2A"/>
    <w:rsid w:val="005D2084"/>
    <w:rsid w:val="005D4AAD"/>
    <w:rsid w:val="005D5AD3"/>
    <w:rsid w:val="005D5D12"/>
    <w:rsid w:val="005D5FE1"/>
    <w:rsid w:val="005D6AC9"/>
    <w:rsid w:val="005D7899"/>
    <w:rsid w:val="005E1A06"/>
    <w:rsid w:val="005E2598"/>
    <w:rsid w:val="005E3D41"/>
    <w:rsid w:val="005E498D"/>
    <w:rsid w:val="005E6193"/>
    <w:rsid w:val="005E62D7"/>
    <w:rsid w:val="005E68D9"/>
    <w:rsid w:val="005E7653"/>
    <w:rsid w:val="005E7D1F"/>
    <w:rsid w:val="005E7FBA"/>
    <w:rsid w:val="005F14B2"/>
    <w:rsid w:val="005F1825"/>
    <w:rsid w:val="005F26FE"/>
    <w:rsid w:val="005F2C3A"/>
    <w:rsid w:val="005F4AFF"/>
    <w:rsid w:val="005F4F66"/>
    <w:rsid w:val="005F52D7"/>
    <w:rsid w:val="005F5457"/>
    <w:rsid w:val="005F6182"/>
    <w:rsid w:val="005F7DEF"/>
    <w:rsid w:val="00600CF6"/>
    <w:rsid w:val="00600DB1"/>
    <w:rsid w:val="006012C5"/>
    <w:rsid w:val="00603072"/>
    <w:rsid w:val="0060316D"/>
    <w:rsid w:val="0060332E"/>
    <w:rsid w:val="00604611"/>
    <w:rsid w:val="00604E64"/>
    <w:rsid w:val="006074F4"/>
    <w:rsid w:val="006100BF"/>
    <w:rsid w:val="0061029B"/>
    <w:rsid w:val="006108A0"/>
    <w:rsid w:val="0061223F"/>
    <w:rsid w:val="00613217"/>
    <w:rsid w:val="00613417"/>
    <w:rsid w:val="006160FB"/>
    <w:rsid w:val="006175BB"/>
    <w:rsid w:val="00620276"/>
    <w:rsid w:val="00620444"/>
    <w:rsid w:val="00621DBE"/>
    <w:rsid w:val="00621DFF"/>
    <w:rsid w:val="0062284C"/>
    <w:rsid w:val="00623046"/>
    <w:rsid w:val="00626E1F"/>
    <w:rsid w:val="00627CBD"/>
    <w:rsid w:val="006304C7"/>
    <w:rsid w:val="00630727"/>
    <w:rsid w:val="00630EAE"/>
    <w:rsid w:val="00631376"/>
    <w:rsid w:val="00631763"/>
    <w:rsid w:val="00632842"/>
    <w:rsid w:val="006339D1"/>
    <w:rsid w:val="0063476E"/>
    <w:rsid w:val="00634C11"/>
    <w:rsid w:val="00635733"/>
    <w:rsid w:val="00635BE4"/>
    <w:rsid w:val="00640017"/>
    <w:rsid w:val="00640D36"/>
    <w:rsid w:val="0064102B"/>
    <w:rsid w:val="00641786"/>
    <w:rsid w:val="00642A11"/>
    <w:rsid w:val="00642C21"/>
    <w:rsid w:val="00643E0C"/>
    <w:rsid w:val="006453AB"/>
    <w:rsid w:val="00645879"/>
    <w:rsid w:val="00645A35"/>
    <w:rsid w:val="00645B9B"/>
    <w:rsid w:val="00645C4B"/>
    <w:rsid w:val="0064600F"/>
    <w:rsid w:val="006469D6"/>
    <w:rsid w:val="00646AE9"/>
    <w:rsid w:val="00646E33"/>
    <w:rsid w:val="006503C3"/>
    <w:rsid w:val="006508C7"/>
    <w:rsid w:val="00650A9C"/>
    <w:rsid w:val="0065116E"/>
    <w:rsid w:val="0065199A"/>
    <w:rsid w:val="00651B1E"/>
    <w:rsid w:val="00652FD1"/>
    <w:rsid w:val="0065379D"/>
    <w:rsid w:val="006541B2"/>
    <w:rsid w:val="00654FB7"/>
    <w:rsid w:val="00655F44"/>
    <w:rsid w:val="00656AE8"/>
    <w:rsid w:val="00660308"/>
    <w:rsid w:val="00661DB2"/>
    <w:rsid w:val="00662835"/>
    <w:rsid w:val="00663E4E"/>
    <w:rsid w:val="006649D2"/>
    <w:rsid w:val="00664F9F"/>
    <w:rsid w:val="00665F48"/>
    <w:rsid w:val="00667B97"/>
    <w:rsid w:val="00667F52"/>
    <w:rsid w:val="00670DAB"/>
    <w:rsid w:val="00671501"/>
    <w:rsid w:val="006715C5"/>
    <w:rsid w:val="00671EBA"/>
    <w:rsid w:val="00672093"/>
    <w:rsid w:val="00672275"/>
    <w:rsid w:val="006724AA"/>
    <w:rsid w:val="00672953"/>
    <w:rsid w:val="00672D8B"/>
    <w:rsid w:val="00674078"/>
    <w:rsid w:val="00674690"/>
    <w:rsid w:val="00674AF6"/>
    <w:rsid w:val="0067654C"/>
    <w:rsid w:val="00676853"/>
    <w:rsid w:val="00680244"/>
    <w:rsid w:val="00681E15"/>
    <w:rsid w:val="00682596"/>
    <w:rsid w:val="00683531"/>
    <w:rsid w:val="0068408A"/>
    <w:rsid w:val="00684512"/>
    <w:rsid w:val="00686F9C"/>
    <w:rsid w:val="00687EED"/>
    <w:rsid w:val="00687FAB"/>
    <w:rsid w:val="00690679"/>
    <w:rsid w:val="0069193A"/>
    <w:rsid w:val="006919CF"/>
    <w:rsid w:val="00692E8E"/>
    <w:rsid w:val="006936C1"/>
    <w:rsid w:val="0069459A"/>
    <w:rsid w:val="00694B26"/>
    <w:rsid w:val="00694C69"/>
    <w:rsid w:val="00695D7A"/>
    <w:rsid w:val="00695FD0"/>
    <w:rsid w:val="0069680B"/>
    <w:rsid w:val="006A0ECE"/>
    <w:rsid w:val="006A10F3"/>
    <w:rsid w:val="006A1240"/>
    <w:rsid w:val="006A1E75"/>
    <w:rsid w:val="006A36B8"/>
    <w:rsid w:val="006A4D2C"/>
    <w:rsid w:val="006A672D"/>
    <w:rsid w:val="006A7318"/>
    <w:rsid w:val="006A7B42"/>
    <w:rsid w:val="006B0AA0"/>
    <w:rsid w:val="006B14FE"/>
    <w:rsid w:val="006B1E95"/>
    <w:rsid w:val="006B1F1D"/>
    <w:rsid w:val="006B20DA"/>
    <w:rsid w:val="006B254C"/>
    <w:rsid w:val="006B2BE8"/>
    <w:rsid w:val="006B2C0E"/>
    <w:rsid w:val="006B2DD6"/>
    <w:rsid w:val="006B3845"/>
    <w:rsid w:val="006B5A21"/>
    <w:rsid w:val="006B7CF5"/>
    <w:rsid w:val="006B7E34"/>
    <w:rsid w:val="006C1F4A"/>
    <w:rsid w:val="006C30EB"/>
    <w:rsid w:val="006C3558"/>
    <w:rsid w:val="006C393C"/>
    <w:rsid w:val="006C4836"/>
    <w:rsid w:val="006C499A"/>
    <w:rsid w:val="006C5AF7"/>
    <w:rsid w:val="006C5ECD"/>
    <w:rsid w:val="006C64EA"/>
    <w:rsid w:val="006C68F5"/>
    <w:rsid w:val="006C6DB1"/>
    <w:rsid w:val="006C6F11"/>
    <w:rsid w:val="006C70FB"/>
    <w:rsid w:val="006C779E"/>
    <w:rsid w:val="006D07C2"/>
    <w:rsid w:val="006D09CE"/>
    <w:rsid w:val="006D100B"/>
    <w:rsid w:val="006D2090"/>
    <w:rsid w:val="006D2CF0"/>
    <w:rsid w:val="006D3043"/>
    <w:rsid w:val="006D664A"/>
    <w:rsid w:val="006D68FF"/>
    <w:rsid w:val="006D7D67"/>
    <w:rsid w:val="006E03BA"/>
    <w:rsid w:val="006E0A49"/>
    <w:rsid w:val="006E3A65"/>
    <w:rsid w:val="006E43CF"/>
    <w:rsid w:val="006E545B"/>
    <w:rsid w:val="006E60D1"/>
    <w:rsid w:val="006E64C8"/>
    <w:rsid w:val="006E69D2"/>
    <w:rsid w:val="006E7290"/>
    <w:rsid w:val="006F0193"/>
    <w:rsid w:val="006F0379"/>
    <w:rsid w:val="006F0501"/>
    <w:rsid w:val="006F0523"/>
    <w:rsid w:val="006F07D0"/>
    <w:rsid w:val="006F12DA"/>
    <w:rsid w:val="006F18B6"/>
    <w:rsid w:val="006F1E77"/>
    <w:rsid w:val="006F2FB3"/>
    <w:rsid w:val="006F364C"/>
    <w:rsid w:val="006F3FE8"/>
    <w:rsid w:val="006F531F"/>
    <w:rsid w:val="006F53F6"/>
    <w:rsid w:val="006F7CC9"/>
    <w:rsid w:val="00701654"/>
    <w:rsid w:val="00701BE9"/>
    <w:rsid w:val="007022CD"/>
    <w:rsid w:val="00703EDD"/>
    <w:rsid w:val="007044F3"/>
    <w:rsid w:val="00706573"/>
    <w:rsid w:val="00707C53"/>
    <w:rsid w:val="00710EBE"/>
    <w:rsid w:val="0071145F"/>
    <w:rsid w:val="0071178F"/>
    <w:rsid w:val="00711D27"/>
    <w:rsid w:val="00711D3B"/>
    <w:rsid w:val="00712A61"/>
    <w:rsid w:val="00713069"/>
    <w:rsid w:val="00713679"/>
    <w:rsid w:val="00713A39"/>
    <w:rsid w:val="0071405A"/>
    <w:rsid w:val="00714E0C"/>
    <w:rsid w:val="00715972"/>
    <w:rsid w:val="00717B54"/>
    <w:rsid w:val="00720277"/>
    <w:rsid w:val="007210C0"/>
    <w:rsid w:val="00722E30"/>
    <w:rsid w:val="00723F3E"/>
    <w:rsid w:val="007242B5"/>
    <w:rsid w:val="0072476C"/>
    <w:rsid w:val="00725319"/>
    <w:rsid w:val="0072640B"/>
    <w:rsid w:val="0072680A"/>
    <w:rsid w:val="007303D4"/>
    <w:rsid w:val="00731231"/>
    <w:rsid w:val="00731777"/>
    <w:rsid w:val="0073380B"/>
    <w:rsid w:val="00733B62"/>
    <w:rsid w:val="00733F3D"/>
    <w:rsid w:val="007363CC"/>
    <w:rsid w:val="007376E5"/>
    <w:rsid w:val="0074054D"/>
    <w:rsid w:val="00743C37"/>
    <w:rsid w:val="007457CF"/>
    <w:rsid w:val="007466E0"/>
    <w:rsid w:val="00747949"/>
    <w:rsid w:val="00751EC6"/>
    <w:rsid w:val="00751EEC"/>
    <w:rsid w:val="00752144"/>
    <w:rsid w:val="0075302E"/>
    <w:rsid w:val="007535E6"/>
    <w:rsid w:val="00753B75"/>
    <w:rsid w:val="007548FA"/>
    <w:rsid w:val="007557F4"/>
    <w:rsid w:val="00757677"/>
    <w:rsid w:val="00757AD9"/>
    <w:rsid w:val="00761291"/>
    <w:rsid w:val="00762065"/>
    <w:rsid w:val="0076338C"/>
    <w:rsid w:val="00763699"/>
    <w:rsid w:val="00764A00"/>
    <w:rsid w:val="007662D0"/>
    <w:rsid w:val="007667B8"/>
    <w:rsid w:val="00766C5C"/>
    <w:rsid w:val="00766ECD"/>
    <w:rsid w:val="00767204"/>
    <w:rsid w:val="00767902"/>
    <w:rsid w:val="00767BFD"/>
    <w:rsid w:val="00771FE9"/>
    <w:rsid w:val="00772247"/>
    <w:rsid w:val="007728FA"/>
    <w:rsid w:val="00772C26"/>
    <w:rsid w:val="007743AA"/>
    <w:rsid w:val="00774481"/>
    <w:rsid w:val="0077452D"/>
    <w:rsid w:val="0077498C"/>
    <w:rsid w:val="00774E98"/>
    <w:rsid w:val="00775B3F"/>
    <w:rsid w:val="00775BE0"/>
    <w:rsid w:val="00775F34"/>
    <w:rsid w:val="0077602D"/>
    <w:rsid w:val="00776292"/>
    <w:rsid w:val="0077657F"/>
    <w:rsid w:val="00776753"/>
    <w:rsid w:val="007768F1"/>
    <w:rsid w:val="00776A23"/>
    <w:rsid w:val="00776BA1"/>
    <w:rsid w:val="00780404"/>
    <w:rsid w:val="00781022"/>
    <w:rsid w:val="007810DA"/>
    <w:rsid w:val="00781B99"/>
    <w:rsid w:val="007830AB"/>
    <w:rsid w:val="007839BD"/>
    <w:rsid w:val="00784A46"/>
    <w:rsid w:val="00786A98"/>
    <w:rsid w:val="00786B44"/>
    <w:rsid w:val="00787843"/>
    <w:rsid w:val="0079227D"/>
    <w:rsid w:val="00792A7E"/>
    <w:rsid w:val="00793FBD"/>
    <w:rsid w:val="007941F7"/>
    <w:rsid w:val="00794ACC"/>
    <w:rsid w:val="00794D14"/>
    <w:rsid w:val="00795305"/>
    <w:rsid w:val="00796AB5"/>
    <w:rsid w:val="007A192A"/>
    <w:rsid w:val="007A285B"/>
    <w:rsid w:val="007A2C48"/>
    <w:rsid w:val="007A3594"/>
    <w:rsid w:val="007A362D"/>
    <w:rsid w:val="007A4253"/>
    <w:rsid w:val="007A4538"/>
    <w:rsid w:val="007A560D"/>
    <w:rsid w:val="007A75AF"/>
    <w:rsid w:val="007A7995"/>
    <w:rsid w:val="007A7B2D"/>
    <w:rsid w:val="007B28A6"/>
    <w:rsid w:val="007B2A87"/>
    <w:rsid w:val="007B3AE3"/>
    <w:rsid w:val="007B4037"/>
    <w:rsid w:val="007B471B"/>
    <w:rsid w:val="007B48B3"/>
    <w:rsid w:val="007B50A8"/>
    <w:rsid w:val="007B5D6C"/>
    <w:rsid w:val="007B79B9"/>
    <w:rsid w:val="007C030E"/>
    <w:rsid w:val="007C0B8C"/>
    <w:rsid w:val="007C0C6E"/>
    <w:rsid w:val="007C1136"/>
    <w:rsid w:val="007C16D1"/>
    <w:rsid w:val="007C28AD"/>
    <w:rsid w:val="007C2D66"/>
    <w:rsid w:val="007C2F05"/>
    <w:rsid w:val="007C3658"/>
    <w:rsid w:val="007C3A08"/>
    <w:rsid w:val="007D2EEF"/>
    <w:rsid w:val="007D3582"/>
    <w:rsid w:val="007D398C"/>
    <w:rsid w:val="007D4CE8"/>
    <w:rsid w:val="007D58CA"/>
    <w:rsid w:val="007D64E0"/>
    <w:rsid w:val="007D6976"/>
    <w:rsid w:val="007D6A4B"/>
    <w:rsid w:val="007D6BAA"/>
    <w:rsid w:val="007D76D0"/>
    <w:rsid w:val="007E0319"/>
    <w:rsid w:val="007E04E4"/>
    <w:rsid w:val="007E2377"/>
    <w:rsid w:val="007E3C7F"/>
    <w:rsid w:val="007E505B"/>
    <w:rsid w:val="007E5C4B"/>
    <w:rsid w:val="007E65AA"/>
    <w:rsid w:val="007F04F5"/>
    <w:rsid w:val="007F0B0B"/>
    <w:rsid w:val="007F0DE5"/>
    <w:rsid w:val="007F280C"/>
    <w:rsid w:val="007F28C4"/>
    <w:rsid w:val="007F2D2C"/>
    <w:rsid w:val="007F30EA"/>
    <w:rsid w:val="007F3420"/>
    <w:rsid w:val="007F3524"/>
    <w:rsid w:val="007F4663"/>
    <w:rsid w:val="007F5155"/>
    <w:rsid w:val="007F5715"/>
    <w:rsid w:val="007F67A1"/>
    <w:rsid w:val="007F6C76"/>
    <w:rsid w:val="007F7084"/>
    <w:rsid w:val="0080123F"/>
    <w:rsid w:val="008017B1"/>
    <w:rsid w:val="008026F9"/>
    <w:rsid w:val="00803108"/>
    <w:rsid w:val="0080312B"/>
    <w:rsid w:val="00804555"/>
    <w:rsid w:val="008047B6"/>
    <w:rsid w:val="008050E5"/>
    <w:rsid w:val="00805ADB"/>
    <w:rsid w:val="00805C09"/>
    <w:rsid w:val="00806089"/>
    <w:rsid w:val="008062FE"/>
    <w:rsid w:val="00806983"/>
    <w:rsid w:val="00807220"/>
    <w:rsid w:val="00807B0C"/>
    <w:rsid w:val="00807D93"/>
    <w:rsid w:val="0081005D"/>
    <w:rsid w:val="00810FA9"/>
    <w:rsid w:val="008112C4"/>
    <w:rsid w:val="0081130C"/>
    <w:rsid w:val="00811934"/>
    <w:rsid w:val="00811C88"/>
    <w:rsid w:val="00812CD9"/>
    <w:rsid w:val="00812F3D"/>
    <w:rsid w:val="00813908"/>
    <w:rsid w:val="00813F90"/>
    <w:rsid w:val="00814DA9"/>
    <w:rsid w:val="00815692"/>
    <w:rsid w:val="008157A2"/>
    <w:rsid w:val="00815B0A"/>
    <w:rsid w:val="00815FB8"/>
    <w:rsid w:val="00816B60"/>
    <w:rsid w:val="0081702E"/>
    <w:rsid w:val="00817A30"/>
    <w:rsid w:val="00817CFD"/>
    <w:rsid w:val="008212BC"/>
    <w:rsid w:val="00821325"/>
    <w:rsid w:val="008223F6"/>
    <w:rsid w:val="00823088"/>
    <w:rsid w:val="008239B2"/>
    <w:rsid w:val="00824785"/>
    <w:rsid w:val="00824D5A"/>
    <w:rsid w:val="00824E1E"/>
    <w:rsid w:val="00826766"/>
    <w:rsid w:val="00826CEB"/>
    <w:rsid w:val="00827910"/>
    <w:rsid w:val="00827D19"/>
    <w:rsid w:val="008316CF"/>
    <w:rsid w:val="00831EDC"/>
    <w:rsid w:val="00832315"/>
    <w:rsid w:val="008323BE"/>
    <w:rsid w:val="0083286B"/>
    <w:rsid w:val="00833009"/>
    <w:rsid w:val="0083365D"/>
    <w:rsid w:val="008336B6"/>
    <w:rsid w:val="00833CD3"/>
    <w:rsid w:val="00833E14"/>
    <w:rsid w:val="00835348"/>
    <w:rsid w:val="00835434"/>
    <w:rsid w:val="008357F5"/>
    <w:rsid w:val="00835ADF"/>
    <w:rsid w:val="00835E4B"/>
    <w:rsid w:val="008366DB"/>
    <w:rsid w:val="00840AD5"/>
    <w:rsid w:val="00840CAB"/>
    <w:rsid w:val="00841925"/>
    <w:rsid w:val="00843C84"/>
    <w:rsid w:val="008456D7"/>
    <w:rsid w:val="00845CE6"/>
    <w:rsid w:val="00845E48"/>
    <w:rsid w:val="00846377"/>
    <w:rsid w:val="00850DD7"/>
    <w:rsid w:val="00850F16"/>
    <w:rsid w:val="00851774"/>
    <w:rsid w:val="00852B79"/>
    <w:rsid w:val="0085314E"/>
    <w:rsid w:val="0085599A"/>
    <w:rsid w:val="008566CA"/>
    <w:rsid w:val="00856EA5"/>
    <w:rsid w:val="008604BF"/>
    <w:rsid w:val="00861E5B"/>
    <w:rsid w:val="00862386"/>
    <w:rsid w:val="00862654"/>
    <w:rsid w:val="00862AA7"/>
    <w:rsid w:val="00863327"/>
    <w:rsid w:val="0086387D"/>
    <w:rsid w:val="00865937"/>
    <w:rsid w:val="00867608"/>
    <w:rsid w:val="00870A9B"/>
    <w:rsid w:val="008717A1"/>
    <w:rsid w:val="00872D4B"/>
    <w:rsid w:val="008738D0"/>
    <w:rsid w:val="00874037"/>
    <w:rsid w:val="00874A44"/>
    <w:rsid w:val="00875C2D"/>
    <w:rsid w:val="008768DD"/>
    <w:rsid w:val="0087785C"/>
    <w:rsid w:val="00877DB6"/>
    <w:rsid w:val="008805E4"/>
    <w:rsid w:val="0088113E"/>
    <w:rsid w:val="00881889"/>
    <w:rsid w:val="00881F37"/>
    <w:rsid w:val="008823BF"/>
    <w:rsid w:val="0088321C"/>
    <w:rsid w:val="008849D5"/>
    <w:rsid w:val="00885193"/>
    <w:rsid w:val="00886AEF"/>
    <w:rsid w:val="008911C7"/>
    <w:rsid w:val="00891EB5"/>
    <w:rsid w:val="00892608"/>
    <w:rsid w:val="008927A8"/>
    <w:rsid w:val="008939C9"/>
    <w:rsid w:val="00893E68"/>
    <w:rsid w:val="00893ED5"/>
    <w:rsid w:val="0089481C"/>
    <w:rsid w:val="00894C87"/>
    <w:rsid w:val="00894D4B"/>
    <w:rsid w:val="00894DB3"/>
    <w:rsid w:val="0089535F"/>
    <w:rsid w:val="00896F2A"/>
    <w:rsid w:val="0089728C"/>
    <w:rsid w:val="00897B9F"/>
    <w:rsid w:val="00897CF7"/>
    <w:rsid w:val="008A0635"/>
    <w:rsid w:val="008A096E"/>
    <w:rsid w:val="008A1931"/>
    <w:rsid w:val="008A3A20"/>
    <w:rsid w:val="008A3B12"/>
    <w:rsid w:val="008A5E29"/>
    <w:rsid w:val="008A63C6"/>
    <w:rsid w:val="008A70B2"/>
    <w:rsid w:val="008B05EA"/>
    <w:rsid w:val="008B1097"/>
    <w:rsid w:val="008B1B28"/>
    <w:rsid w:val="008B1E4C"/>
    <w:rsid w:val="008B39C6"/>
    <w:rsid w:val="008B3B4D"/>
    <w:rsid w:val="008B53F4"/>
    <w:rsid w:val="008B6577"/>
    <w:rsid w:val="008B6A52"/>
    <w:rsid w:val="008B6B38"/>
    <w:rsid w:val="008C11DC"/>
    <w:rsid w:val="008C1BBB"/>
    <w:rsid w:val="008C26B8"/>
    <w:rsid w:val="008C270F"/>
    <w:rsid w:val="008C30CE"/>
    <w:rsid w:val="008C36EE"/>
    <w:rsid w:val="008C4538"/>
    <w:rsid w:val="008C5008"/>
    <w:rsid w:val="008C659C"/>
    <w:rsid w:val="008D0536"/>
    <w:rsid w:val="008D067A"/>
    <w:rsid w:val="008D22A4"/>
    <w:rsid w:val="008D2726"/>
    <w:rsid w:val="008D3BAE"/>
    <w:rsid w:val="008D40B5"/>
    <w:rsid w:val="008D4559"/>
    <w:rsid w:val="008D5026"/>
    <w:rsid w:val="008E099B"/>
    <w:rsid w:val="008E0B2A"/>
    <w:rsid w:val="008E1721"/>
    <w:rsid w:val="008E24DE"/>
    <w:rsid w:val="008E25B7"/>
    <w:rsid w:val="008E296F"/>
    <w:rsid w:val="008E2D39"/>
    <w:rsid w:val="008E3611"/>
    <w:rsid w:val="008E4502"/>
    <w:rsid w:val="008E46B2"/>
    <w:rsid w:val="008E491D"/>
    <w:rsid w:val="008E4D65"/>
    <w:rsid w:val="008E6527"/>
    <w:rsid w:val="008E6F2B"/>
    <w:rsid w:val="008F0278"/>
    <w:rsid w:val="008F092A"/>
    <w:rsid w:val="008F0A58"/>
    <w:rsid w:val="008F12A7"/>
    <w:rsid w:val="008F28E2"/>
    <w:rsid w:val="008F36C8"/>
    <w:rsid w:val="008F3A34"/>
    <w:rsid w:val="008F3E0C"/>
    <w:rsid w:val="008F49AA"/>
    <w:rsid w:val="008F52E8"/>
    <w:rsid w:val="008F5F85"/>
    <w:rsid w:val="008F6A7B"/>
    <w:rsid w:val="008F6D94"/>
    <w:rsid w:val="008F6DF7"/>
    <w:rsid w:val="008F7A26"/>
    <w:rsid w:val="008F7DC2"/>
    <w:rsid w:val="0090043F"/>
    <w:rsid w:val="00900953"/>
    <w:rsid w:val="00901653"/>
    <w:rsid w:val="00902596"/>
    <w:rsid w:val="00902975"/>
    <w:rsid w:val="00902C30"/>
    <w:rsid w:val="009033B3"/>
    <w:rsid w:val="0090530F"/>
    <w:rsid w:val="009059E9"/>
    <w:rsid w:val="0090722E"/>
    <w:rsid w:val="009108E1"/>
    <w:rsid w:val="00912728"/>
    <w:rsid w:val="009153C2"/>
    <w:rsid w:val="00915BC9"/>
    <w:rsid w:val="0091620F"/>
    <w:rsid w:val="00916601"/>
    <w:rsid w:val="00916B21"/>
    <w:rsid w:val="00916E61"/>
    <w:rsid w:val="009176A2"/>
    <w:rsid w:val="009179F3"/>
    <w:rsid w:val="00917F3D"/>
    <w:rsid w:val="00917F7A"/>
    <w:rsid w:val="00920091"/>
    <w:rsid w:val="00920210"/>
    <w:rsid w:val="00920FD1"/>
    <w:rsid w:val="00922EC7"/>
    <w:rsid w:val="00924703"/>
    <w:rsid w:val="009253AE"/>
    <w:rsid w:val="00925715"/>
    <w:rsid w:val="00926399"/>
    <w:rsid w:val="00926991"/>
    <w:rsid w:val="0092772D"/>
    <w:rsid w:val="00927C32"/>
    <w:rsid w:val="0093082B"/>
    <w:rsid w:val="00930DC2"/>
    <w:rsid w:val="00932420"/>
    <w:rsid w:val="009330A3"/>
    <w:rsid w:val="009332CB"/>
    <w:rsid w:val="00933427"/>
    <w:rsid w:val="009334B6"/>
    <w:rsid w:val="00934881"/>
    <w:rsid w:val="00936572"/>
    <w:rsid w:val="009373D9"/>
    <w:rsid w:val="00940BC3"/>
    <w:rsid w:val="009415D4"/>
    <w:rsid w:val="009417A4"/>
    <w:rsid w:val="00942CFB"/>
    <w:rsid w:val="00942E43"/>
    <w:rsid w:val="0094409F"/>
    <w:rsid w:val="009456F5"/>
    <w:rsid w:val="009458C3"/>
    <w:rsid w:val="009460D9"/>
    <w:rsid w:val="00946243"/>
    <w:rsid w:val="00946A18"/>
    <w:rsid w:val="00947144"/>
    <w:rsid w:val="00947CC6"/>
    <w:rsid w:val="00947EF4"/>
    <w:rsid w:val="00951A1F"/>
    <w:rsid w:val="00951B34"/>
    <w:rsid w:val="0095231C"/>
    <w:rsid w:val="00952A9A"/>
    <w:rsid w:val="009532E7"/>
    <w:rsid w:val="009534FD"/>
    <w:rsid w:val="00955610"/>
    <w:rsid w:val="009556B0"/>
    <w:rsid w:val="00955B7D"/>
    <w:rsid w:val="009563F6"/>
    <w:rsid w:val="009576F2"/>
    <w:rsid w:val="009604A3"/>
    <w:rsid w:val="00962BF7"/>
    <w:rsid w:val="009630A9"/>
    <w:rsid w:val="00963A35"/>
    <w:rsid w:val="00964C15"/>
    <w:rsid w:val="009654F6"/>
    <w:rsid w:val="00966A29"/>
    <w:rsid w:val="00966C2F"/>
    <w:rsid w:val="00967A6B"/>
    <w:rsid w:val="00967E06"/>
    <w:rsid w:val="00971185"/>
    <w:rsid w:val="00971407"/>
    <w:rsid w:val="0097222D"/>
    <w:rsid w:val="009732E8"/>
    <w:rsid w:val="009733BD"/>
    <w:rsid w:val="00973ACF"/>
    <w:rsid w:val="00974448"/>
    <w:rsid w:val="00975C18"/>
    <w:rsid w:val="0097682D"/>
    <w:rsid w:val="00977EC5"/>
    <w:rsid w:val="00980F14"/>
    <w:rsid w:val="0098123D"/>
    <w:rsid w:val="00981D60"/>
    <w:rsid w:val="0098224E"/>
    <w:rsid w:val="009852C0"/>
    <w:rsid w:val="0098548A"/>
    <w:rsid w:val="00985DBB"/>
    <w:rsid w:val="00986E8B"/>
    <w:rsid w:val="00986F18"/>
    <w:rsid w:val="009902C3"/>
    <w:rsid w:val="0099100E"/>
    <w:rsid w:val="0099196D"/>
    <w:rsid w:val="00991C65"/>
    <w:rsid w:val="00991D6C"/>
    <w:rsid w:val="00992043"/>
    <w:rsid w:val="00995509"/>
    <w:rsid w:val="009963A3"/>
    <w:rsid w:val="00997380"/>
    <w:rsid w:val="009974F0"/>
    <w:rsid w:val="009A030E"/>
    <w:rsid w:val="009A04DD"/>
    <w:rsid w:val="009A0E85"/>
    <w:rsid w:val="009A2623"/>
    <w:rsid w:val="009A2A59"/>
    <w:rsid w:val="009A3284"/>
    <w:rsid w:val="009A3462"/>
    <w:rsid w:val="009A3EF5"/>
    <w:rsid w:val="009A4BEE"/>
    <w:rsid w:val="009A521E"/>
    <w:rsid w:val="009A6F02"/>
    <w:rsid w:val="009A6F5F"/>
    <w:rsid w:val="009A74A4"/>
    <w:rsid w:val="009B2AF2"/>
    <w:rsid w:val="009B303D"/>
    <w:rsid w:val="009B3432"/>
    <w:rsid w:val="009B396C"/>
    <w:rsid w:val="009B4BF7"/>
    <w:rsid w:val="009B52F9"/>
    <w:rsid w:val="009B5430"/>
    <w:rsid w:val="009B58B6"/>
    <w:rsid w:val="009B5D8B"/>
    <w:rsid w:val="009B66A9"/>
    <w:rsid w:val="009B6D9D"/>
    <w:rsid w:val="009B7D87"/>
    <w:rsid w:val="009C0421"/>
    <w:rsid w:val="009C399E"/>
    <w:rsid w:val="009C42E6"/>
    <w:rsid w:val="009C4AC7"/>
    <w:rsid w:val="009C4BB1"/>
    <w:rsid w:val="009C502F"/>
    <w:rsid w:val="009C590F"/>
    <w:rsid w:val="009C6D90"/>
    <w:rsid w:val="009C6E32"/>
    <w:rsid w:val="009C709E"/>
    <w:rsid w:val="009C7D23"/>
    <w:rsid w:val="009D0157"/>
    <w:rsid w:val="009D05FB"/>
    <w:rsid w:val="009D0DB7"/>
    <w:rsid w:val="009D3210"/>
    <w:rsid w:val="009D385B"/>
    <w:rsid w:val="009D3B6E"/>
    <w:rsid w:val="009D431D"/>
    <w:rsid w:val="009D45E3"/>
    <w:rsid w:val="009D48ED"/>
    <w:rsid w:val="009D4E3F"/>
    <w:rsid w:val="009D53BF"/>
    <w:rsid w:val="009D57F0"/>
    <w:rsid w:val="009D62F4"/>
    <w:rsid w:val="009D6C99"/>
    <w:rsid w:val="009D72BE"/>
    <w:rsid w:val="009D74D8"/>
    <w:rsid w:val="009D7619"/>
    <w:rsid w:val="009D7C83"/>
    <w:rsid w:val="009E1284"/>
    <w:rsid w:val="009E25E0"/>
    <w:rsid w:val="009E262E"/>
    <w:rsid w:val="009E2810"/>
    <w:rsid w:val="009E32C3"/>
    <w:rsid w:val="009E39D0"/>
    <w:rsid w:val="009E424A"/>
    <w:rsid w:val="009E4FF0"/>
    <w:rsid w:val="009E53BA"/>
    <w:rsid w:val="009E6E41"/>
    <w:rsid w:val="009E7320"/>
    <w:rsid w:val="009E7507"/>
    <w:rsid w:val="009F0CCA"/>
    <w:rsid w:val="009F14F1"/>
    <w:rsid w:val="009F1E9D"/>
    <w:rsid w:val="009F4C41"/>
    <w:rsid w:val="009F4E0D"/>
    <w:rsid w:val="009F56AD"/>
    <w:rsid w:val="009F6D91"/>
    <w:rsid w:val="009F6E57"/>
    <w:rsid w:val="00A00E7F"/>
    <w:rsid w:val="00A00EEF"/>
    <w:rsid w:val="00A034FF"/>
    <w:rsid w:val="00A03856"/>
    <w:rsid w:val="00A03D6B"/>
    <w:rsid w:val="00A042E6"/>
    <w:rsid w:val="00A045CB"/>
    <w:rsid w:val="00A057A4"/>
    <w:rsid w:val="00A06489"/>
    <w:rsid w:val="00A10986"/>
    <w:rsid w:val="00A14C90"/>
    <w:rsid w:val="00A14F7D"/>
    <w:rsid w:val="00A151E9"/>
    <w:rsid w:val="00A179EF"/>
    <w:rsid w:val="00A20FEC"/>
    <w:rsid w:val="00A2316E"/>
    <w:rsid w:val="00A23F5E"/>
    <w:rsid w:val="00A245DC"/>
    <w:rsid w:val="00A24A3D"/>
    <w:rsid w:val="00A25B2D"/>
    <w:rsid w:val="00A31D1D"/>
    <w:rsid w:val="00A3290B"/>
    <w:rsid w:val="00A3319E"/>
    <w:rsid w:val="00A33D68"/>
    <w:rsid w:val="00A348D0"/>
    <w:rsid w:val="00A35286"/>
    <w:rsid w:val="00A35CD2"/>
    <w:rsid w:val="00A35DE6"/>
    <w:rsid w:val="00A36E3B"/>
    <w:rsid w:val="00A371D1"/>
    <w:rsid w:val="00A373A0"/>
    <w:rsid w:val="00A37D46"/>
    <w:rsid w:val="00A405B5"/>
    <w:rsid w:val="00A4097D"/>
    <w:rsid w:val="00A4464B"/>
    <w:rsid w:val="00A449B0"/>
    <w:rsid w:val="00A450A9"/>
    <w:rsid w:val="00A47864"/>
    <w:rsid w:val="00A52EB5"/>
    <w:rsid w:val="00A52F4C"/>
    <w:rsid w:val="00A52FBE"/>
    <w:rsid w:val="00A53126"/>
    <w:rsid w:val="00A53605"/>
    <w:rsid w:val="00A53C64"/>
    <w:rsid w:val="00A54AD1"/>
    <w:rsid w:val="00A55127"/>
    <w:rsid w:val="00A56037"/>
    <w:rsid w:val="00A564DB"/>
    <w:rsid w:val="00A5799D"/>
    <w:rsid w:val="00A6010E"/>
    <w:rsid w:val="00A61E7E"/>
    <w:rsid w:val="00A622CA"/>
    <w:rsid w:val="00A63B2A"/>
    <w:rsid w:val="00A63FC5"/>
    <w:rsid w:val="00A6447A"/>
    <w:rsid w:val="00A64986"/>
    <w:rsid w:val="00A64AC4"/>
    <w:rsid w:val="00A64E92"/>
    <w:rsid w:val="00A65085"/>
    <w:rsid w:val="00A65E3B"/>
    <w:rsid w:val="00A66023"/>
    <w:rsid w:val="00A66272"/>
    <w:rsid w:val="00A6649A"/>
    <w:rsid w:val="00A666BD"/>
    <w:rsid w:val="00A66B18"/>
    <w:rsid w:val="00A670D8"/>
    <w:rsid w:val="00A703DB"/>
    <w:rsid w:val="00A7060E"/>
    <w:rsid w:val="00A7103D"/>
    <w:rsid w:val="00A713AA"/>
    <w:rsid w:val="00A73BF8"/>
    <w:rsid w:val="00A7404F"/>
    <w:rsid w:val="00A74FC9"/>
    <w:rsid w:val="00A80792"/>
    <w:rsid w:val="00A80ABC"/>
    <w:rsid w:val="00A8236D"/>
    <w:rsid w:val="00A829C2"/>
    <w:rsid w:val="00A831CC"/>
    <w:rsid w:val="00A8388A"/>
    <w:rsid w:val="00A84031"/>
    <w:rsid w:val="00A85216"/>
    <w:rsid w:val="00A85ABB"/>
    <w:rsid w:val="00A86AFD"/>
    <w:rsid w:val="00A86F70"/>
    <w:rsid w:val="00A90A0E"/>
    <w:rsid w:val="00A91130"/>
    <w:rsid w:val="00A913F4"/>
    <w:rsid w:val="00A91469"/>
    <w:rsid w:val="00A91A4F"/>
    <w:rsid w:val="00A91B1D"/>
    <w:rsid w:val="00A93595"/>
    <w:rsid w:val="00A94064"/>
    <w:rsid w:val="00A9667E"/>
    <w:rsid w:val="00A96B06"/>
    <w:rsid w:val="00A97769"/>
    <w:rsid w:val="00AA04BA"/>
    <w:rsid w:val="00AA1A84"/>
    <w:rsid w:val="00AA2789"/>
    <w:rsid w:val="00AA383B"/>
    <w:rsid w:val="00AA5241"/>
    <w:rsid w:val="00AA73AA"/>
    <w:rsid w:val="00AA78BA"/>
    <w:rsid w:val="00AB00F1"/>
    <w:rsid w:val="00AB0FA7"/>
    <w:rsid w:val="00AB1A4E"/>
    <w:rsid w:val="00AB30B0"/>
    <w:rsid w:val="00AB538B"/>
    <w:rsid w:val="00AB54BD"/>
    <w:rsid w:val="00AB5A2F"/>
    <w:rsid w:val="00AB63A5"/>
    <w:rsid w:val="00AB798F"/>
    <w:rsid w:val="00AB7D85"/>
    <w:rsid w:val="00AC097C"/>
    <w:rsid w:val="00AC2A1A"/>
    <w:rsid w:val="00AC2B1B"/>
    <w:rsid w:val="00AC2DFC"/>
    <w:rsid w:val="00AC3D83"/>
    <w:rsid w:val="00AC4D50"/>
    <w:rsid w:val="00AC51CE"/>
    <w:rsid w:val="00AC55F2"/>
    <w:rsid w:val="00AC6042"/>
    <w:rsid w:val="00AC6061"/>
    <w:rsid w:val="00AC62B0"/>
    <w:rsid w:val="00AC667D"/>
    <w:rsid w:val="00AC69F3"/>
    <w:rsid w:val="00AD0F82"/>
    <w:rsid w:val="00AD1265"/>
    <w:rsid w:val="00AD1454"/>
    <w:rsid w:val="00AD220A"/>
    <w:rsid w:val="00AD3531"/>
    <w:rsid w:val="00AD3577"/>
    <w:rsid w:val="00AD4265"/>
    <w:rsid w:val="00AD48CD"/>
    <w:rsid w:val="00AD4F57"/>
    <w:rsid w:val="00AD6749"/>
    <w:rsid w:val="00AD7026"/>
    <w:rsid w:val="00AD714D"/>
    <w:rsid w:val="00AD739E"/>
    <w:rsid w:val="00AD7661"/>
    <w:rsid w:val="00AD7D3C"/>
    <w:rsid w:val="00AE03AF"/>
    <w:rsid w:val="00AE042E"/>
    <w:rsid w:val="00AE193F"/>
    <w:rsid w:val="00AE2117"/>
    <w:rsid w:val="00AE28EC"/>
    <w:rsid w:val="00AE6CB7"/>
    <w:rsid w:val="00AE78CB"/>
    <w:rsid w:val="00AE7D70"/>
    <w:rsid w:val="00AF1F6F"/>
    <w:rsid w:val="00AF3F52"/>
    <w:rsid w:val="00AF5551"/>
    <w:rsid w:val="00AF5B01"/>
    <w:rsid w:val="00AF77CC"/>
    <w:rsid w:val="00B029CE"/>
    <w:rsid w:val="00B02E1E"/>
    <w:rsid w:val="00B02E74"/>
    <w:rsid w:val="00B0304D"/>
    <w:rsid w:val="00B03120"/>
    <w:rsid w:val="00B0394C"/>
    <w:rsid w:val="00B03E8F"/>
    <w:rsid w:val="00B04837"/>
    <w:rsid w:val="00B04ADF"/>
    <w:rsid w:val="00B05917"/>
    <w:rsid w:val="00B05A49"/>
    <w:rsid w:val="00B06101"/>
    <w:rsid w:val="00B06215"/>
    <w:rsid w:val="00B0689B"/>
    <w:rsid w:val="00B06B13"/>
    <w:rsid w:val="00B07684"/>
    <w:rsid w:val="00B077B3"/>
    <w:rsid w:val="00B119F2"/>
    <w:rsid w:val="00B122A4"/>
    <w:rsid w:val="00B126E3"/>
    <w:rsid w:val="00B13717"/>
    <w:rsid w:val="00B1415B"/>
    <w:rsid w:val="00B145B9"/>
    <w:rsid w:val="00B15178"/>
    <w:rsid w:val="00B1602E"/>
    <w:rsid w:val="00B1714A"/>
    <w:rsid w:val="00B17170"/>
    <w:rsid w:val="00B1720D"/>
    <w:rsid w:val="00B17324"/>
    <w:rsid w:val="00B17CE9"/>
    <w:rsid w:val="00B17E1C"/>
    <w:rsid w:val="00B20A5F"/>
    <w:rsid w:val="00B217CC"/>
    <w:rsid w:val="00B21FAA"/>
    <w:rsid w:val="00B22B78"/>
    <w:rsid w:val="00B23A21"/>
    <w:rsid w:val="00B24252"/>
    <w:rsid w:val="00B26894"/>
    <w:rsid w:val="00B319DB"/>
    <w:rsid w:val="00B3339A"/>
    <w:rsid w:val="00B33BB4"/>
    <w:rsid w:val="00B34976"/>
    <w:rsid w:val="00B362FD"/>
    <w:rsid w:val="00B37EE2"/>
    <w:rsid w:val="00B408B5"/>
    <w:rsid w:val="00B409C9"/>
    <w:rsid w:val="00B421F3"/>
    <w:rsid w:val="00B43309"/>
    <w:rsid w:val="00B436F8"/>
    <w:rsid w:val="00B441E2"/>
    <w:rsid w:val="00B450F9"/>
    <w:rsid w:val="00B46454"/>
    <w:rsid w:val="00B46503"/>
    <w:rsid w:val="00B46514"/>
    <w:rsid w:val="00B46568"/>
    <w:rsid w:val="00B470B8"/>
    <w:rsid w:val="00B47BBD"/>
    <w:rsid w:val="00B500A9"/>
    <w:rsid w:val="00B50A52"/>
    <w:rsid w:val="00B50AFC"/>
    <w:rsid w:val="00B51AC0"/>
    <w:rsid w:val="00B52156"/>
    <w:rsid w:val="00B52950"/>
    <w:rsid w:val="00B52EAF"/>
    <w:rsid w:val="00B52F71"/>
    <w:rsid w:val="00B532EF"/>
    <w:rsid w:val="00B55275"/>
    <w:rsid w:val="00B56796"/>
    <w:rsid w:val="00B56B91"/>
    <w:rsid w:val="00B5703E"/>
    <w:rsid w:val="00B57A27"/>
    <w:rsid w:val="00B57E04"/>
    <w:rsid w:val="00B6198D"/>
    <w:rsid w:val="00B61EE0"/>
    <w:rsid w:val="00B6245F"/>
    <w:rsid w:val="00B626D8"/>
    <w:rsid w:val="00B62E28"/>
    <w:rsid w:val="00B66BC6"/>
    <w:rsid w:val="00B70FE6"/>
    <w:rsid w:val="00B73D37"/>
    <w:rsid w:val="00B73E7C"/>
    <w:rsid w:val="00B74378"/>
    <w:rsid w:val="00B74502"/>
    <w:rsid w:val="00B74FC3"/>
    <w:rsid w:val="00B751B0"/>
    <w:rsid w:val="00B754BB"/>
    <w:rsid w:val="00B75BF8"/>
    <w:rsid w:val="00B817C2"/>
    <w:rsid w:val="00B8224E"/>
    <w:rsid w:val="00B830AE"/>
    <w:rsid w:val="00B83502"/>
    <w:rsid w:val="00B83E15"/>
    <w:rsid w:val="00B83E54"/>
    <w:rsid w:val="00B8513E"/>
    <w:rsid w:val="00B85157"/>
    <w:rsid w:val="00B8587F"/>
    <w:rsid w:val="00B869C3"/>
    <w:rsid w:val="00B87037"/>
    <w:rsid w:val="00B9034E"/>
    <w:rsid w:val="00B91034"/>
    <w:rsid w:val="00B91886"/>
    <w:rsid w:val="00B91F25"/>
    <w:rsid w:val="00B9337A"/>
    <w:rsid w:val="00B93B19"/>
    <w:rsid w:val="00B944C6"/>
    <w:rsid w:val="00B94CDD"/>
    <w:rsid w:val="00B97815"/>
    <w:rsid w:val="00BA309B"/>
    <w:rsid w:val="00BA3ABD"/>
    <w:rsid w:val="00BA50CF"/>
    <w:rsid w:val="00BA6128"/>
    <w:rsid w:val="00BA691A"/>
    <w:rsid w:val="00BA7595"/>
    <w:rsid w:val="00BA7BD1"/>
    <w:rsid w:val="00BA7C80"/>
    <w:rsid w:val="00BB2764"/>
    <w:rsid w:val="00BB31B5"/>
    <w:rsid w:val="00BB330F"/>
    <w:rsid w:val="00BB36B1"/>
    <w:rsid w:val="00BB54D7"/>
    <w:rsid w:val="00BB5F06"/>
    <w:rsid w:val="00BB62FA"/>
    <w:rsid w:val="00BB63BA"/>
    <w:rsid w:val="00BB6618"/>
    <w:rsid w:val="00BB7008"/>
    <w:rsid w:val="00BB73BD"/>
    <w:rsid w:val="00BB749F"/>
    <w:rsid w:val="00BC0D1D"/>
    <w:rsid w:val="00BC0D3D"/>
    <w:rsid w:val="00BC11CA"/>
    <w:rsid w:val="00BC1899"/>
    <w:rsid w:val="00BC18DD"/>
    <w:rsid w:val="00BC3F0B"/>
    <w:rsid w:val="00BC4F19"/>
    <w:rsid w:val="00BC54AB"/>
    <w:rsid w:val="00BC5681"/>
    <w:rsid w:val="00BC6461"/>
    <w:rsid w:val="00BC7596"/>
    <w:rsid w:val="00BD03FA"/>
    <w:rsid w:val="00BD0BBE"/>
    <w:rsid w:val="00BD1EA5"/>
    <w:rsid w:val="00BD32C4"/>
    <w:rsid w:val="00BD5D7A"/>
    <w:rsid w:val="00BD63FB"/>
    <w:rsid w:val="00BD6F75"/>
    <w:rsid w:val="00BD7971"/>
    <w:rsid w:val="00BE0AA0"/>
    <w:rsid w:val="00BE12BB"/>
    <w:rsid w:val="00BE1527"/>
    <w:rsid w:val="00BE2345"/>
    <w:rsid w:val="00BE2370"/>
    <w:rsid w:val="00BE282E"/>
    <w:rsid w:val="00BE2C2B"/>
    <w:rsid w:val="00BE2F53"/>
    <w:rsid w:val="00BE305C"/>
    <w:rsid w:val="00BE33A1"/>
    <w:rsid w:val="00BE3ED7"/>
    <w:rsid w:val="00BE45C5"/>
    <w:rsid w:val="00BE4F68"/>
    <w:rsid w:val="00BE527E"/>
    <w:rsid w:val="00BE6C71"/>
    <w:rsid w:val="00BE6F6F"/>
    <w:rsid w:val="00BF0595"/>
    <w:rsid w:val="00BF2481"/>
    <w:rsid w:val="00BF2CE1"/>
    <w:rsid w:val="00BF3919"/>
    <w:rsid w:val="00BF3981"/>
    <w:rsid w:val="00BF5341"/>
    <w:rsid w:val="00BF68DA"/>
    <w:rsid w:val="00C00951"/>
    <w:rsid w:val="00C00B9E"/>
    <w:rsid w:val="00C00C9C"/>
    <w:rsid w:val="00C0279C"/>
    <w:rsid w:val="00C02CEF"/>
    <w:rsid w:val="00C0326C"/>
    <w:rsid w:val="00C045B6"/>
    <w:rsid w:val="00C05039"/>
    <w:rsid w:val="00C06C97"/>
    <w:rsid w:val="00C07384"/>
    <w:rsid w:val="00C07546"/>
    <w:rsid w:val="00C07936"/>
    <w:rsid w:val="00C07F75"/>
    <w:rsid w:val="00C115CC"/>
    <w:rsid w:val="00C11B60"/>
    <w:rsid w:val="00C125B2"/>
    <w:rsid w:val="00C1469A"/>
    <w:rsid w:val="00C1527D"/>
    <w:rsid w:val="00C163BB"/>
    <w:rsid w:val="00C20355"/>
    <w:rsid w:val="00C21723"/>
    <w:rsid w:val="00C237AD"/>
    <w:rsid w:val="00C23984"/>
    <w:rsid w:val="00C23B7C"/>
    <w:rsid w:val="00C24405"/>
    <w:rsid w:val="00C26240"/>
    <w:rsid w:val="00C30D5D"/>
    <w:rsid w:val="00C30FB4"/>
    <w:rsid w:val="00C32BB9"/>
    <w:rsid w:val="00C32C17"/>
    <w:rsid w:val="00C3311B"/>
    <w:rsid w:val="00C35030"/>
    <w:rsid w:val="00C3526F"/>
    <w:rsid w:val="00C35E70"/>
    <w:rsid w:val="00C36A48"/>
    <w:rsid w:val="00C36FF6"/>
    <w:rsid w:val="00C4013F"/>
    <w:rsid w:val="00C41FE0"/>
    <w:rsid w:val="00C42EA4"/>
    <w:rsid w:val="00C42FCA"/>
    <w:rsid w:val="00C43EED"/>
    <w:rsid w:val="00C44F11"/>
    <w:rsid w:val="00C4533C"/>
    <w:rsid w:val="00C46054"/>
    <w:rsid w:val="00C465DC"/>
    <w:rsid w:val="00C473EC"/>
    <w:rsid w:val="00C51619"/>
    <w:rsid w:val="00C516FB"/>
    <w:rsid w:val="00C51B35"/>
    <w:rsid w:val="00C5261E"/>
    <w:rsid w:val="00C52D3F"/>
    <w:rsid w:val="00C52E0F"/>
    <w:rsid w:val="00C530C8"/>
    <w:rsid w:val="00C53716"/>
    <w:rsid w:val="00C54154"/>
    <w:rsid w:val="00C548C6"/>
    <w:rsid w:val="00C549D1"/>
    <w:rsid w:val="00C55183"/>
    <w:rsid w:val="00C554A6"/>
    <w:rsid w:val="00C556C1"/>
    <w:rsid w:val="00C55E5F"/>
    <w:rsid w:val="00C560F3"/>
    <w:rsid w:val="00C56574"/>
    <w:rsid w:val="00C56A28"/>
    <w:rsid w:val="00C60E4F"/>
    <w:rsid w:val="00C617A8"/>
    <w:rsid w:val="00C617C8"/>
    <w:rsid w:val="00C627C0"/>
    <w:rsid w:val="00C62F76"/>
    <w:rsid w:val="00C634FC"/>
    <w:rsid w:val="00C636DC"/>
    <w:rsid w:val="00C63D2C"/>
    <w:rsid w:val="00C653E0"/>
    <w:rsid w:val="00C665E7"/>
    <w:rsid w:val="00C67A8E"/>
    <w:rsid w:val="00C70509"/>
    <w:rsid w:val="00C70CF9"/>
    <w:rsid w:val="00C72484"/>
    <w:rsid w:val="00C72C88"/>
    <w:rsid w:val="00C72D11"/>
    <w:rsid w:val="00C736F5"/>
    <w:rsid w:val="00C743E0"/>
    <w:rsid w:val="00C821F8"/>
    <w:rsid w:val="00C8245F"/>
    <w:rsid w:val="00C829B8"/>
    <w:rsid w:val="00C829F2"/>
    <w:rsid w:val="00C830BE"/>
    <w:rsid w:val="00C83400"/>
    <w:rsid w:val="00C85088"/>
    <w:rsid w:val="00C85311"/>
    <w:rsid w:val="00C85F83"/>
    <w:rsid w:val="00C86930"/>
    <w:rsid w:val="00C87AB7"/>
    <w:rsid w:val="00C901A8"/>
    <w:rsid w:val="00C90350"/>
    <w:rsid w:val="00C91CAC"/>
    <w:rsid w:val="00C921A0"/>
    <w:rsid w:val="00C92496"/>
    <w:rsid w:val="00C9249D"/>
    <w:rsid w:val="00C93590"/>
    <w:rsid w:val="00C939CD"/>
    <w:rsid w:val="00C97202"/>
    <w:rsid w:val="00CA101E"/>
    <w:rsid w:val="00CA1F07"/>
    <w:rsid w:val="00CA1F5E"/>
    <w:rsid w:val="00CA253B"/>
    <w:rsid w:val="00CA26F3"/>
    <w:rsid w:val="00CA2E00"/>
    <w:rsid w:val="00CA3303"/>
    <w:rsid w:val="00CA3A0D"/>
    <w:rsid w:val="00CA4112"/>
    <w:rsid w:val="00CA4AC8"/>
    <w:rsid w:val="00CA4BE5"/>
    <w:rsid w:val="00CA7238"/>
    <w:rsid w:val="00CA7BB5"/>
    <w:rsid w:val="00CB0052"/>
    <w:rsid w:val="00CB0392"/>
    <w:rsid w:val="00CB0E97"/>
    <w:rsid w:val="00CB0FF6"/>
    <w:rsid w:val="00CB10CE"/>
    <w:rsid w:val="00CB126B"/>
    <w:rsid w:val="00CB1D23"/>
    <w:rsid w:val="00CB2B24"/>
    <w:rsid w:val="00CB31D1"/>
    <w:rsid w:val="00CB3875"/>
    <w:rsid w:val="00CB38A5"/>
    <w:rsid w:val="00CB4014"/>
    <w:rsid w:val="00CB453E"/>
    <w:rsid w:val="00CB63EA"/>
    <w:rsid w:val="00CB701A"/>
    <w:rsid w:val="00CB7A08"/>
    <w:rsid w:val="00CC043F"/>
    <w:rsid w:val="00CC0467"/>
    <w:rsid w:val="00CC112C"/>
    <w:rsid w:val="00CC1CDF"/>
    <w:rsid w:val="00CC2219"/>
    <w:rsid w:val="00CC2F71"/>
    <w:rsid w:val="00CC33C6"/>
    <w:rsid w:val="00CC356E"/>
    <w:rsid w:val="00CC4BF0"/>
    <w:rsid w:val="00CC5DD9"/>
    <w:rsid w:val="00CC5FC2"/>
    <w:rsid w:val="00CC6E55"/>
    <w:rsid w:val="00CC6F78"/>
    <w:rsid w:val="00CD0EE0"/>
    <w:rsid w:val="00CD10E3"/>
    <w:rsid w:val="00CD1F94"/>
    <w:rsid w:val="00CD218B"/>
    <w:rsid w:val="00CD25EB"/>
    <w:rsid w:val="00CD2ED3"/>
    <w:rsid w:val="00CD3A2A"/>
    <w:rsid w:val="00CD412C"/>
    <w:rsid w:val="00CD5EA7"/>
    <w:rsid w:val="00CD763B"/>
    <w:rsid w:val="00CE288D"/>
    <w:rsid w:val="00CE2FF8"/>
    <w:rsid w:val="00CE3866"/>
    <w:rsid w:val="00CE3907"/>
    <w:rsid w:val="00CF0820"/>
    <w:rsid w:val="00CF265D"/>
    <w:rsid w:val="00CF3242"/>
    <w:rsid w:val="00CF3A09"/>
    <w:rsid w:val="00CF46C4"/>
    <w:rsid w:val="00CF53A0"/>
    <w:rsid w:val="00CF7D9F"/>
    <w:rsid w:val="00D0028B"/>
    <w:rsid w:val="00D00D04"/>
    <w:rsid w:val="00D012BA"/>
    <w:rsid w:val="00D0177F"/>
    <w:rsid w:val="00D025FB"/>
    <w:rsid w:val="00D03686"/>
    <w:rsid w:val="00D036D0"/>
    <w:rsid w:val="00D0403A"/>
    <w:rsid w:val="00D04EFD"/>
    <w:rsid w:val="00D05072"/>
    <w:rsid w:val="00D05240"/>
    <w:rsid w:val="00D05DBD"/>
    <w:rsid w:val="00D06CCF"/>
    <w:rsid w:val="00D071B1"/>
    <w:rsid w:val="00D073E0"/>
    <w:rsid w:val="00D076FA"/>
    <w:rsid w:val="00D1051F"/>
    <w:rsid w:val="00D10A3B"/>
    <w:rsid w:val="00D10BD7"/>
    <w:rsid w:val="00D114DC"/>
    <w:rsid w:val="00D11F35"/>
    <w:rsid w:val="00D13E24"/>
    <w:rsid w:val="00D1423B"/>
    <w:rsid w:val="00D151AD"/>
    <w:rsid w:val="00D158AD"/>
    <w:rsid w:val="00D15CBB"/>
    <w:rsid w:val="00D16CDD"/>
    <w:rsid w:val="00D17548"/>
    <w:rsid w:val="00D210B7"/>
    <w:rsid w:val="00D21126"/>
    <w:rsid w:val="00D21EA0"/>
    <w:rsid w:val="00D22DD1"/>
    <w:rsid w:val="00D2303C"/>
    <w:rsid w:val="00D232BA"/>
    <w:rsid w:val="00D23D23"/>
    <w:rsid w:val="00D24304"/>
    <w:rsid w:val="00D25D5A"/>
    <w:rsid w:val="00D26034"/>
    <w:rsid w:val="00D2651A"/>
    <w:rsid w:val="00D26EFE"/>
    <w:rsid w:val="00D279DC"/>
    <w:rsid w:val="00D27F8A"/>
    <w:rsid w:val="00D3182E"/>
    <w:rsid w:val="00D330AE"/>
    <w:rsid w:val="00D33877"/>
    <w:rsid w:val="00D34176"/>
    <w:rsid w:val="00D35655"/>
    <w:rsid w:val="00D35935"/>
    <w:rsid w:val="00D36AF2"/>
    <w:rsid w:val="00D36FCA"/>
    <w:rsid w:val="00D3716B"/>
    <w:rsid w:val="00D37943"/>
    <w:rsid w:val="00D44E52"/>
    <w:rsid w:val="00D454E8"/>
    <w:rsid w:val="00D4590B"/>
    <w:rsid w:val="00D464C3"/>
    <w:rsid w:val="00D50056"/>
    <w:rsid w:val="00D50107"/>
    <w:rsid w:val="00D50A52"/>
    <w:rsid w:val="00D5122D"/>
    <w:rsid w:val="00D51A66"/>
    <w:rsid w:val="00D51E23"/>
    <w:rsid w:val="00D52407"/>
    <w:rsid w:val="00D54459"/>
    <w:rsid w:val="00D544E8"/>
    <w:rsid w:val="00D547B1"/>
    <w:rsid w:val="00D55B78"/>
    <w:rsid w:val="00D57CE5"/>
    <w:rsid w:val="00D57D4E"/>
    <w:rsid w:val="00D61829"/>
    <w:rsid w:val="00D61CF8"/>
    <w:rsid w:val="00D621CC"/>
    <w:rsid w:val="00D66D27"/>
    <w:rsid w:val="00D7055D"/>
    <w:rsid w:val="00D717C6"/>
    <w:rsid w:val="00D7257E"/>
    <w:rsid w:val="00D738F1"/>
    <w:rsid w:val="00D7497A"/>
    <w:rsid w:val="00D74D05"/>
    <w:rsid w:val="00D774C8"/>
    <w:rsid w:val="00D77C78"/>
    <w:rsid w:val="00D80415"/>
    <w:rsid w:val="00D81486"/>
    <w:rsid w:val="00D814B3"/>
    <w:rsid w:val="00D8241D"/>
    <w:rsid w:val="00D83468"/>
    <w:rsid w:val="00D835D0"/>
    <w:rsid w:val="00D85B01"/>
    <w:rsid w:val="00D85F3E"/>
    <w:rsid w:val="00D87729"/>
    <w:rsid w:val="00D90276"/>
    <w:rsid w:val="00D90706"/>
    <w:rsid w:val="00D907E7"/>
    <w:rsid w:val="00D90E99"/>
    <w:rsid w:val="00D9177C"/>
    <w:rsid w:val="00D91E6C"/>
    <w:rsid w:val="00D92151"/>
    <w:rsid w:val="00D935DB"/>
    <w:rsid w:val="00D94135"/>
    <w:rsid w:val="00D94441"/>
    <w:rsid w:val="00D96947"/>
    <w:rsid w:val="00D96EF1"/>
    <w:rsid w:val="00DA0339"/>
    <w:rsid w:val="00DA096C"/>
    <w:rsid w:val="00DA0E97"/>
    <w:rsid w:val="00DA2847"/>
    <w:rsid w:val="00DA2B54"/>
    <w:rsid w:val="00DA3404"/>
    <w:rsid w:val="00DA347B"/>
    <w:rsid w:val="00DA4B35"/>
    <w:rsid w:val="00DA541A"/>
    <w:rsid w:val="00DA61DF"/>
    <w:rsid w:val="00DA6523"/>
    <w:rsid w:val="00DB0825"/>
    <w:rsid w:val="00DB1942"/>
    <w:rsid w:val="00DB20A7"/>
    <w:rsid w:val="00DB2185"/>
    <w:rsid w:val="00DB2F7D"/>
    <w:rsid w:val="00DB4550"/>
    <w:rsid w:val="00DB5441"/>
    <w:rsid w:val="00DB6787"/>
    <w:rsid w:val="00DB78A4"/>
    <w:rsid w:val="00DB7E6B"/>
    <w:rsid w:val="00DC0456"/>
    <w:rsid w:val="00DC0AA8"/>
    <w:rsid w:val="00DC15BB"/>
    <w:rsid w:val="00DC2010"/>
    <w:rsid w:val="00DC219F"/>
    <w:rsid w:val="00DC31E8"/>
    <w:rsid w:val="00DC3364"/>
    <w:rsid w:val="00DC4391"/>
    <w:rsid w:val="00DC43CA"/>
    <w:rsid w:val="00DC4903"/>
    <w:rsid w:val="00DC4946"/>
    <w:rsid w:val="00DC534C"/>
    <w:rsid w:val="00DD0FB5"/>
    <w:rsid w:val="00DD1B4B"/>
    <w:rsid w:val="00DD1F4F"/>
    <w:rsid w:val="00DD2320"/>
    <w:rsid w:val="00DD328D"/>
    <w:rsid w:val="00DD3341"/>
    <w:rsid w:val="00DD35F3"/>
    <w:rsid w:val="00DD3C62"/>
    <w:rsid w:val="00DD3EE5"/>
    <w:rsid w:val="00DD430A"/>
    <w:rsid w:val="00DD5FF5"/>
    <w:rsid w:val="00DD639F"/>
    <w:rsid w:val="00DD6557"/>
    <w:rsid w:val="00DD703B"/>
    <w:rsid w:val="00DD78C7"/>
    <w:rsid w:val="00DE0352"/>
    <w:rsid w:val="00DE0F04"/>
    <w:rsid w:val="00DE1B76"/>
    <w:rsid w:val="00DE1D3F"/>
    <w:rsid w:val="00DE26F0"/>
    <w:rsid w:val="00DE27D3"/>
    <w:rsid w:val="00DE2AA1"/>
    <w:rsid w:val="00DE325B"/>
    <w:rsid w:val="00DE3324"/>
    <w:rsid w:val="00DE4DC1"/>
    <w:rsid w:val="00DE6E26"/>
    <w:rsid w:val="00DE726F"/>
    <w:rsid w:val="00DE7EFC"/>
    <w:rsid w:val="00DF0EF0"/>
    <w:rsid w:val="00DF13B8"/>
    <w:rsid w:val="00DF1BA5"/>
    <w:rsid w:val="00DF2498"/>
    <w:rsid w:val="00DF2DCA"/>
    <w:rsid w:val="00DF3DF2"/>
    <w:rsid w:val="00DF4AA9"/>
    <w:rsid w:val="00DF4AE4"/>
    <w:rsid w:val="00DF4C46"/>
    <w:rsid w:val="00DF4D6E"/>
    <w:rsid w:val="00DF5756"/>
    <w:rsid w:val="00DF591C"/>
    <w:rsid w:val="00DF5B3E"/>
    <w:rsid w:val="00DF5FAA"/>
    <w:rsid w:val="00DF6D70"/>
    <w:rsid w:val="00DF7AF3"/>
    <w:rsid w:val="00E0019A"/>
    <w:rsid w:val="00E004F7"/>
    <w:rsid w:val="00E00AB8"/>
    <w:rsid w:val="00E00E0F"/>
    <w:rsid w:val="00E012FC"/>
    <w:rsid w:val="00E01811"/>
    <w:rsid w:val="00E027B6"/>
    <w:rsid w:val="00E046AF"/>
    <w:rsid w:val="00E048DB"/>
    <w:rsid w:val="00E06971"/>
    <w:rsid w:val="00E06F65"/>
    <w:rsid w:val="00E0798B"/>
    <w:rsid w:val="00E07ED3"/>
    <w:rsid w:val="00E1044E"/>
    <w:rsid w:val="00E11A02"/>
    <w:rsid w:val="00E14CBF"/>
    <w:rsid w:val="00E15977"/>
    <w:rsid w:val="00E170C9"/>
    <w:rsid w:val="00E17673"/>
    <w:rsid w:val="00E17895"/>
    <w:rsid w:val="00E178A5"/>
    <w:rsid w:val="00E211B6"/>
    <w:rsid w:val="00E22FE7"/>
    <w:rsid w:val="00E26A78"/>
    <w:rsid w:val="00E26D3C"/>
    <w:rsid w:val="00E320D5"/>
    <w:rsid w:val="00E32262"/>
    <w:rsid w:val="00E32389"/>
    <w:rsid w:val="00E32A25"/>
    <w:rsid w:val="00E35180"/>
    <w:rsid w:val="00E36886"/>
    <w:rsid w:val="00E36A05"/>
    <w:rsid w:val="00E377E0"/>
    <w:rsid w:val="00E37BD8"/>
    <w:rsid w:val="00E40058"/>
    <w:rsid w:val="00E40447"/>
    <w:rsid w:val="00E4062E"/>
    <w:rsid w:val="00E408E2"/>
    <w:rsid w:val="00E40F25"/>
    <w:rsid w:val="00E42C69"/>
    <w:rsid w:val="00E43207"/>
    <w:rsid w:val="00E4329A"/>
    <w:rsid w:val="00E442D1"/>
    <w:rsid w:val="00E4432D"/>
    <w:rsid w:val="00E479A8"/>
    <w:rsid w:val="00E50004"/>
    <w:rsid w:val="00E507E0"/>
    <w:rsid w:val="00E50930"/>
    <w:rsid w:val="00E51AF0"/>
    <w:rsid w:val="00E5210F"/>
    <w:rsid w:val="00E5344E"/>
    <w:rsid w:val="00E55453"/>
    <w:rsid w:val="00E55A53"/>
    <w:rsid w:val="00E56161"/>
    <w:rsid w:val="00E568BD"/>
    <w:rsid w:val="00E5771A"/>
    <w:rsid w:val="00E60BC4"/>
    <w:rsid w:val="00E60C2A"/>
    <w:rsid w:val="00E60F6B"/>
    <w:rsid w:val="00E61962"/>
    <w:rsid w:val="00E62479"/>
    <w:rsid w:val="00E62D96"/>
    <w:rsid w:val="00E64204"/>
    <w:rsid w:val="00E65208"/>
    <w:rsid w:val="00E65B76"/>
    <w:rsid w:val="00E672F8"/>
    <w:rsid w:val="00E7050D"/>
    <w:rsid w:val="00E70650"/>
    <w:rsid w:val="00E72711"/>
    <w:rsid w:val="00E727F1"/>
    <w:rsid w:val="00E73DDF"/>
    <w:rsid w:val="00E74D92"/>
    <w:rsid w:val="00E75A80"/>
    <w:rsid w:val="00E763E2"/>
    <w:rsid w:val="00E76FE9"/>
    <w:rsid w:val="00E77A57"/>
    <w:rsid w:val="00E77FA4"/>
    <w:rsid w:val="00E806CB"/>
    <w:rsid w:val="00E822ED"/>
    <w:rsid w:val="00E8353E"/>
    <w:rsid w:val="00E8390F"/>
    <w:rsid w:val="00E84372"/>
    <w:rsid w:val="00E86020"/>
    <w:rsid w:val="00E868BF"/>
    <w:rsid w:val="00E87558"/>
    <w:rsid w:val="00E9089F"/>
    <w:rsid w:val="00E90CAF"/>
    <w:rsid w:val="00E92EBC"/>
    <w:rsid w:val="00E95811"/>
    <w:rsid w:val="00E9585B"/>
    <w:rsid w:val="00E95F5E"/>
    <w:rsid w:val="00E96A7B"/>
    <w:rsid w:val="00E96B68"/>
    <w:rsid w:val="00EA000A"/>
    <w:rsid w:val="00EA002F"/>
    <w:rsid w:val="00EA0264"/>
    <w:rsid w:val="00EA0808"/>
    <w:rsid w:val="00EA1BFD"/>
    <w:rsid w:val="00EA1E91"/>
    <w:rsid w:val="00EA2565"/>
    <w:rsid w:val="00EA2F46"/>
    <w:rsid w:val="00EA2F60"/>
    <w:rsid w:val="00EA40D3"/>
    <w:rsid w:val="00EA54CF"/>
    <w:rsid w:val="00EA5C3C"/>
    <w:rsid w:val="00EA6E79"/>
    <w:rsid w:val="00EA7A54"/>
    <w:rsid w:val="00EA7F1D"/>
    <w:rsid w:val="00EB182C"/>
    <w:rsid w:val="00EB1B28"/>
    <w:rsid w:val="00EB1CA1"/>
    <w:rsid w:val="00EB2C9A"/>
    <w:rsid w:val="00EC0311"/>
    <w:rsid w:val="00EC0785"/>
    <w:rsid w:val="00EC41D1"/>
    <w:rsid w:val="00EC52E7"/>
    <w:rsid w:val="00EC5B99"/>
    <w:rsid w:val="00EC666B"/>
    <w:rsid w:val="00EC6B8B"/>
    <w:rsid w:val="00EC6C5F"/>
    <w:rsid w:val="00EC78B7"/>
    <w:rsid w:val="00ED0850"/>
    <w:rsid w:val="00ED0BA6"/>
    <w:rsid w:val="00ED0CCB"/>
    <w:rsid w:val="00ED1F18"/>
    <w:rsid w:val="00ED2142"/>
    <w:rsid w:val="00ED31E4"/>
    <w:rsid w:val="00ED47E5"/>
    <w:rsid w:val="00ED4963"/>
    <w:rsid w:val="00ED4E82"/>
    <w:rsid w:val="00ED5AAF"/>
    <w:rsid w:val="00ED5F80"/>
    <w:rsid w:val="00ED6CAC"/>
    <w:rsid w:val="00ED7D88"/>
    <w:rsid w:val="00EE008C"/>
    <w:rsid w:val="00EE035E"/>
    <w:rsid w:val="00EE1202"/>
    <w:rsid w:val="00EE2A93"/>
    <w:rsid w:val="00EE35AB"/>
    <w:rsid w:val="00EE3D2A"/>
    <w:rsid w:val="00EE4B10"/>
    <w:rsid w:val="00EE4CE2"/>
    <w:rsid w:val="00EE53BB"/>
    <w:rsid w:val="00EE59AA"/>
    <w:rsid w:val="00EE6765"/>
    <w:rsid w:val="00EF11CB"/>
    <w:rsid w:val="00EF261D"/>
    <w:rsid w:val="00EF2827"/>
    <w:rsid w:val="00EF320C"/>
    <w:rsid w:val="00EF3570"/>
    <w:rsid w:val="00EF47EA"/>
    <w:rsid w:val="00EF5313"/>
    <w:rsid w:val="00EF592F"/>
    <w:rsid w:val="00EF7204"/>
    <w:rsid w:val="00F006AA"/>
    <w:rsid w:val="00F015DD"/>
    <w:rsid w:val="00F019BD"/>
    <w:rsid w:val="00F022CA"/>
    <w:rsid w:val="00F0303A"/>
    <w:rsid w:val="00F040D5"/>
    <w:rsid w:val="00F0561A"/>
    <w:rsid w:val="00F068DD"/>
    <w:rsid w:val="00F13001"/>
    <w:rsid w:val="00F137AF"/>
    <w:rsid w:val="00F14579"/>
    <w:rsid w:val="00F14862"/>
    <w:rsid w:val="00F15E1C"/>
    <w:rsid w:val="00F169BB"/>
    <w:rsid w:val="00F17309"/>
    <w:rsid w:val="00F17FB9"/>
    <w:rsid w:val="00F2233B"/>
    <w:rsid w:val="00F2277B"/>
    <w:rsid w:val="00F228A3"/>
    <w:rsid w:val="00F24CD8"/>
    <w:rsid w:val="00F24FD9"/>
    <w:rsid w:val="00F25FB6"/>
    <w:rsid w:val="00F2606E"/>
    <w:rsid w:val="00F2667B"/>
    <w:rsid w:val="00F26994"/>
    <w:rsid w:val="00F26B3E"/>
    <w:rsid w:val="00F27A69"/>
    <w:rsid w:val="00F27C78"/>
    <w:rsid w:val="00F27FAE"/>
    <w:rsid w:val="00F312AA"/>
    <w:rsid w:val="00F320C4"/>
    <w:rsid w:val="00F3366B"/>
    <w:rsid w:val="00F349F3"/>
    <w:rsid w:val="00F34E20"/>
    <w:rsid w:val="00F35CEA"/>
    <w:rsid w:val="00F36521"/>
    <w:rsid w:val="00F36D29"/>
    <w:rsid w:val="00F37229"/>
    <w:rsid w:val="00F37644"/>
    <w:rsid w:val="00F376D8"/>
    <w:rsid w:val="00F40FAC"/>
    <w:rsid w:val="00F412C9"/>
    <w:rsid w:val="00F4253C"/>
    <w:rsid w:val="00F42F7D"/>
    <w:rsid w:val="00F46017"/>
    <w:rsid w:val="00F46F14"/>
    <w:rsid w:val="00F46FEC"/>
    <w:rsid w:val="00F4776E"/>
    <w:rsid w:val="00F52982"/>
    <w:rsid w:val="00F53010"/>
    <w:rsid w:val="00F53832"/>
    <w:rsid w:val="00F564A7"/>
    <w:rsid w:val="00F56FFF"/>
    <w:rsid w:val="00F5750F"/>
    <w:rsid w:val="00F57571"/>
    <w:rsid w:val="00F6044B"/>
    <w:rsid w:val="00F60DDE"/>
    <w:rsid w:val="00F61AE4"/>
    <w:rsid w:val="00F61B5C"/>
    <w:rsid w:val="00F61FD7"/>
    <w:rsid w:val="00F62938"/>
    <w:rsid w:val="00F6298D"/>
    <w:rsid w:val="00F62EC6"/>
    <w:rsid w:val="00F64354"/>
    <w:rsid w:val="00F64B84"/>
    <w:rsid w:val="00F6597B"/>
    <w:rsid w:val="00F670E5"/>
    <w:rsid w:val="00F67344"/>
    <w:rsid w:val="00F7204D"/>
    <w:rsid w:val="00F72A97"/>
    <w:rsid w:val="00F735B8"/>
    <w:rsid w:val="00F737D3"/>
    <w:rsid w:val="00F73AAE"/>
    <w:rsid w:val="00F74088"/>
    <w:rsid w:val="00F74365"/>
    <w:rsid w:val="00F74449"/>
    <w:rsid w:val="00F7536C"/>
    <w:rsid w:val="00F75D57"/>
    <w:rsid w:val="00F77A64"/>
    <w:rsid w:val="00F77CE6"/>
    <w:rsid w:val="00F80DD8"/>
    <w:rsid w:val="00F8107D"/>
    <w:rsid w:val="00F816F1"/>
    <w:rsid w:val="00F81CBA"/>
    <w:rsid w:val="00F823AC"/>
    <w:rsid w:val="00F82412"/>
    <w:rsid w:val="00F8242D"/>
    <w:rsid w:val="00F8382C"/>
    <w:rsid w:val="00F83A3B"/>
    <w:rsid w:val="00F844B9"/>
    <w:rsid w:val="00F84BA6"/>
    <w:rsid w:val="00F860E1"/>
    <w:rsid w:val="00F8624D"/>
    <w:rsid w:val="00F8665D"/>
    <w:rsid w:val="00F86CE3"/>
    <w:rsid w:val="00F87718"/>
    <w:rsid w:val="00F901E4"/>
    <w:rsid w:val="00F90206"/>
    <w:rsid w:val="00F904DE"/>
    <w:rsid w:val="00F91498"/>
    <w:rsid w:val="00F92342"/>
    <w:rsid w:val="00F92C5B"/>
    <w:rsid w:val="00F9331E"/>
    <w:rsid w:val="00F93D54"/>
    <w:rsid w:val="00F93DE1"/>
    <w:rsid w:val="00F94B47"/>
    <w:rsid w:val="00F94EC0"/>
    <w:rsid w:val="00F96189"/>
    <w:rsid w:val="00F978F5"/>
    <w:rsid w:val="00FA0B17"/>
    <w:rsid w:val="00FA0D32"/>
    <w:rsid w:val="00FA20D1"/>
    <w:rsid w:val="00FA240B"/>
    <w:rsid w:val="00FA2A7B"/>
    <w:rsid w:val="00FA3469"/>
    <w:rsid w:val="00FA34EF"/>
    <w:rsid w:val="00FA37F8"/>
    <w:rsid w:val="00FA3C71"/>
    <w:rsid w:val="00FA4047"/>
    <w:rsid w:val="00FA44AC"/>
    <w:rsid w:val="00FA4C20"/>
    <w:rsid w:val="00FA67B4"/>
    <w:rsid w:val="00FB06C1"/>
    <w:rsid w:val="00FB06EF"/>
    <w:rsid w:val="00FB2036"/>
    <w:rsid w:val="00FB2E3B"/>
    <w:rsid w:val="00FC0469"/>
    <w:rsid w:val="00FC0E97"/>
    <w:rsid w:val="00FC3331"/>
    <w:rsid w:val="00FC3727"/>
    <w:rsid w:val="00FC5C7F"/>
    <w:rsid w:val="00FC6A30"/>
    <w:rsid w:val="00FC7999"/>
    <w:rsid w:val="00FD00A6"/>
    <w:rsid w:val="00FD2A6A"/>
    <w:rsid w:val="00FE04E3"/>
    <w:rsid w:val="00FE3489"/>
    <w:rsid w:val="00FE465F"/>
    <w:rsid w:val="00FE4C31"/>
    <w:rsid w:val="00FE5D0F"/>
    <w:rsid w:val="00FF1FFC"/>
    <w:rsid w:val="00FF1FFF"/>
    <w:rsid w:val="00FF21B2"/>
    <w:rsid w:val="00FF2427"/>
    <w:rsid w:val="00FF24C3"/>
    <w:rsid w:val="00FF3697"/>
    <w:rsid w:val="00FF41DD"/>
    <w:rsid w:val="00FF4B5D"/>
    <w:rsid w:val="00FF4C5A"/>
    <w:rsid w:val="00FF5776"/>
    <w:rsid w:val="00FF63AC"/>
    <w:rsid w:val="00FF6CCE"/>
    <w:rsid w:val="00FF7148"/>
    <w:rsid w:val="00FF745B"/>
    <w:rsid w:val="0C6D5F32"/>
    <w:rsid w:val="1D7D4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52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D"/>
    <w:pPr>
      <w:spacing w:after="120" w:line="288" w:lineRule="auto"/>
    </w:pPr>
    <w:rPr>
      <w:rFonts w:ascii="Arial" w:hAnsi="Arial"/>
      <w:spacing w:val="3"/>
      <w:kern w:val="0"/>
      <w:sz w:val="20"/>
      <w14:ligatures w14:val="none"/>
    </w:rPr>
  </w:style>
  <w:style w:type="paragraph" w:styleId="Heading1">
    <w:name w:val="heading 1"/>
    <w:basedOn w:val="Normal"/>
    <w:next w:val="Normal"/>
    <w:link w:val="Heading1Char"/>
    <w:uiPriority w:val="9"/>
    <w:qFormat/>
    <w:rsid w:val="00FC7999"/>
    <w:pPr>
      <w:spacing w:before="360" w:after="0" w:line="240" w:lineRule="auto"/>
      <w:contextualSpacing/>
      <w:outlineLvl w:val="0"/>
    </w:pPr>
    <w:rPr>
      <w:rFonts w:eastAsia="Times New Roman" w:cs="Times New Roman"/>
      <w:b/>
      <w:bCs/>
      <w:color w:val="592B5E"/>
      <w:sz w:val="52"/>
      <w:szCs w:val="28"/>
    </w:rPr>
  </w:style>
  <w:style w:type="paragraph" w:styleId="Heading2">
    <w:name w:val="heading 2"/>
    <w:basedOn w:val="Normal"/>
    <w:next w:val="Normal"/>
    <w:link w:val="Heading2Char"/>
    <w:uiPriority w:val="9"/>
    <w:unhideWhenUsed/>
    <w:qFormat/>
    <w:rsid w:val="00FC7999"/>
    <w:pPr>
      <w:keepNext/>
      <w:keepLines/>
      <w:spacing w:before="160" w:after="80"/>
      <w:outlineLvl w:val="1"/>
    </w:pPr>
    <w:rPr>
      <w:rFonts w:eastAsia="Times New Roman" w:cs="Times New Roman"/>
      <w:color w:val="422046"/>
      <w:sz w:val="28"/>
      <w:szCs w:val="32"/>
    </w:rPr>
  </w:style>
  <w:style w:type="paragraph" w:styleId="Heading3">
    <w:name w:val="heading 3"/>
    <w:basedOn w:val="Normal"/>
    <w:next w:val="Normal"/>
    <w:link w:val="Heading3Char"/>
    <w:uiPriority w:val="9"/>
    <w:unhideWhenUsed/>
    <w:qFormat/>
    <w:rsid w:val="00F17309"/>
    <w:pPr>
      <w:keepNext/>
      <w:keepLines/>
      <w:spacing w:before="160" w:after="80"/>
      <w:outlineLvl w:val="2"/>
    </w:pPr>
    <w:rPr>
      <w:rFonts w:eastAsia="Times New Roman" w:cs="Times New Roman"/>
      <w:color w:val="422046"/>
      <w:sz w:val="24"/>
      <w:szCs w:val="28"/>
    </w:rPr>
  </w:style>
  <w:style w:type="paragraph" w:styleId="Heading4">
    <w:name w:val="heading 4"/>
    <w:basedOn w:val="Normal"/>
    <w:next w:val="Normal"/>
    <w:link w:val="Heading4Char"/>
    <w:uiPriority w:val="9"/>
    <w:unhideWhenUsed/>
    <w:qFormat/>
    <w:rsid w:val="00F17309"/>
    <w:pPr>
      <w:keepNext/>
      <w:keepLines/>
      <w:spacing w:before="80" w:after="40"/>
      <w:outlineLvl w:val="3"/>
    </w:pPr>
    <w:rPr>
      <w:rFonts w:eastAsia="Times New Roman" w:cs="Times New Roman"/>
      <w:b/>
      <w:bCs/>
      <w:i/>
      <w:iCs/>
      <w:color w:val="422046"/>
    </w:rPr>
  </w:style>
  <w:style w:type="paragraph" w:styleId="Heading5">
    <w:name w:val="heading 5"/>
    <w:basedOn w:val="Normal"/>
    <w:next w:val="Normal"/>
    <w:link w:val="Heading5Char"/>
    <w:uiPriority w:val="9"/>
    <w:unhideWhenUsed/>
    <w:qFormat/>
    <w:rsid w:val="00F17309"/>
    <w:pPr>
      <w:keepNext/>
      <w:keepLines/>
      <w:spacing w:before="80" w:after="40"/>
      <w:outlineLvl w:val="4"/>
    </w:pPr>
    <w:rPr>
      <w:rFonts w:eastAsia="Times New Roman" w:cs="Times New Roman"/>
      <w:i/>
      <w:iCs/>
      <w:color w:val="422046"/>
    </w:rPr>
  </w:style>
  <w:style w:type="paragraph" w:styleId="Heading6">
    <w:name w:val="heading 6"/>
    <w:basedOn w:val="Normal"/>
    <w:next w:val="Normal"/>
    <w:link w:val="Heading6Char"/>
    <w:uiPriority w:val="9"/>
    <w:semiHidden/>
    <w:unhideWhenUsed/>
    <w:qFormat/>
    <w:rsid w:val="00F46F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6F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6F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6F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Quote">
    <w:name w:val="Introduction / Quote"/>
    <w:basedOn w:val="Normal"/>
    <w:uiPriority w:val="1"/>
    <w:qFormat/>
    <w:rsid w:val="001E1CE2"/>
    <w:rPr>
      <w:color w:val="000000" w:themeColor="text1"/>
      <w:sz w:val="24"/>
      <w:szCs w:val="22"/>
    </w:rPr>
  </w:style>
  <w:style w:type="paragraph" w:customStyle="1" w:styleId="TableChartheading">
    <w:name w:val="Table/Chart heading"/>
    <w:basedOn w:val="Caption"/>
    <w:next w:val="Normal"/>
    <w:uiPriority w:val="4"/>
    <w:qFormat/>
    <w:rsid w:val="00EE4CE2"/>
    <w:pPr>
      <w:spacing w:before="360" w:after="120" w:line="288" w:lineRule="auto"/>
    </w:pPr>
    <w:rPr>
      <w:b/>
      <w:bCs/>
      <w:i w:val="0"/>
      <w:iCs w:val="0"/>
      <w:color w:val="auto"/>
      <w:sz w:val="22"/>
    </w:rPr>
  </w:style>
  <w:style w:type="paragraph" w:styleId="Caption">
    <w:name w:val="caption"/>
    <w:basedOn w:val="Normal"/>
    <w:next w:val="Normal"/>
    <w:uiPriority w:val="35"/>
    <w:semiHidden/>
    <w:unhideWhenUsed/>
    <w:qFormat/>
    <w:rsid w:val="00EE4CE2"/>
    <w:pPr>
      <w:spacing w:after="200" w:line="240" w:lineRule="auto"/>
    </w:pPr>
    <w:rPr>
      <w:i/>
      <w:iCs/>
      <w:color w:val="116765" w:themeColor="text2"/>
      <w:sz w:val="18"/>
      <w:szCs w:val="18"/>
    </w:rPr>
  </w:style>
  <w:style w:type="paragraph" w:customStyle="1" w:styleId="Tableimagenote">
    <w:name w:val="Table/image note"/>
    <w:basedOn w:val="Normal"/>
    <w:next w:val="Normal"/>
    <w:uiPriority w:val="4"/>
    <w:qFormat/>
    <w:rsid w:val="00EE4CE2"/>
    <w:pPr>
      <w:spacing w:before="120"/>
      <w:contextualSpacing/>
    </w:pPr>
    <w:rPr>
      <w:color w:val="595959" w:themeColor="text1" w:themeTint="A6"/>
    </w:rPr>
  </w:style>
  <w:style w:type="paragraph" w:customStyle="1" w:styleId="IntroductoryText">
    <w:name w:val="Introductory Text"/>
    <w:basedOn w:val="Normal"/>
    <w:qFormat/>
    <w:rsid w:val="00FC7999"/>
    <w:rPr>
      <w:rFonts w:eastAsia="Aptos" w:cs="Times New Roman"/>
      <w:color w:val="000000"/>
      <w:sz w:val="24"/>
      <w:szCs w:val="22"/>
    </w:rPr>
  </w:style>
  <w:style w:type="paragraph" w:customStyle="1" w:styleId="Focus">
    <w:name w:val="Focus"/>
    <w:basedOn w:val="Normal"/>
    <w:rsid w:val="001A22C7"/>
    <w:pPr>
      <w:pBdr>
        <w:top w:val="single" w:sz="4" w:space="4" w:color="592B5E"/>
        <w:left w:val="single" w:sz="4" w:space="4" w:color="592B5E"/>
        <w:bottom w:val="single" w:sz="4" w:space="4" w:color="592B5E"/>
        <w:right w:val="single" w:sz="4" w:space="6" w:color="592B5E"/>
      </w:pBdr>
      <w:shd w:val="clear" w:color="auto" w:fill="FDF7DB"/>
    </w:pPr>
    <w:rPr>
      <w:rFonts w:eastAsia="Times New Roman" w:cs="Times New Roman"/>
      <w:szCs w:val="20"/>
    </w:rPr>
  </w:style>
  <w:style w:type="paragraph" w:styleId="NoSpacing">
    <w:name w:val="No Spacing"/>
    <w:basedOn w:val="Normal"/>
    <w:link w:val="NoSpacingChar"/>
    <w:uiPriority w:val="5"/>
    <w:qFormat/>
    <w:rsid w:val="00EE4CE2"/>
    <w:pPr>
      <w:spacing w:after="0" w:line="240" w:lineRule="auto"/>
    </w:pPr>
    <w:rPr>
      <w:rFonts w:asciiTheme="minorHAnsi" w:hAnsiTheme="minorHAnsi"/>
    </w:rPr>
  </w:style>
  <w:style w:type="character" w:customStyle="1" w:styleId="NoSpacingChar">
    <w:name w:val="No Spacing Char"/>
    <w:basedOn w:val="DefaultParagraphFont"/>
    <w:link w:val="NoSpacing"/>
    <w:uiPriority w:val="5"/>
    <w:rsid w:val="00EE4CE2"/>
    <w:rPr>
      <w:spacing w:val="3"/>
      <w:kern w:val="0"/>
      <w:sz w:val="22"/>
      <w14:ligatures w14:val="none"/>
    </w:rPr>
  </w:style>
  <w:style w:type="paragraph" w:customStyle="1" w:styleId="Focus-orange">
    <w:name w:val="Focus - orange"/>
    <w:basedOn w:val="Normal"/>
    <w:next w:val="Normal"/>
    <w:uiPriority w:val="7"/>
    <w:qFormat/>
    <w:rsid w:val="00EE4CE2"/>
    <w:pPr>
      <w:pBdr>
        <w:top w:val="single" w:sz="4" w:space="4" w:color="592B5E" w:themeColor="accent1"/>
        <w:left w:val="single" w:sz="4" w:space="4" w:color="592B5E" w:themeColor="accent1"/>
        <w:bottom w:val="single" w:sz="4" w:space="4" w:color="592B5E" w:themeColor="accent1"/>
        <w:right w:val="single" w:sz="4" w:space="6" w:color="592B5E" w:themeColor="accent1"/>
      </w:pBdr>
      <w:shd w:val="clear" w:color="auto" w:fill="FDF7DB"/>
    </w:pPr>
  </w:style>
  <w:style w:type="character" w:customStyle="1" w:styleId="Heading1Char">
    <w:name w:val="Heading 1 Char"/>
    <w:basedOn w:val="DefaultParagraphFont"/>
    <w:link w:val="Heading1"/>
    <w:uiPriority w:val="9"/>
    <w:rsid w:val="00FC7999"/>
    <w:rPr>
      <w:rFonts w:ascii="Arial" w:eastAsia="Times New Roman" w:hAnsi="Arial" w:cs="Times New Roman"/>
      <w:b/>
      <w:bCs/>
      <w:color w:val="592B5E"/>
      <w:spacing w:val="3"/>
      <w:kern w:val="0"/>
      <w:sz w:val="52"/>
      <w:szCs w:val="28"/>
      <w14:ligatures w14:val="none"/>
    </w:rPr>
  </w:style>
  <w:style w:type="paragraph" w:styleId="Title">
    <w:name w:val="Title"/>
    <w:basedOn w:val="Normal"/>
    <w:next w:val="Normal"/>
    <w:link w:val="TitleChar"/>
    <w:uiPriority w:val="10"/>
    <w:qFormat/>
    <w:rsid w:val="00EE4CE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E4CE2"/>
    <w:rPr>
      <w:rFonts w:ascii="Arial" w:eastAsiaTheme="majorEastAsia" w:hAnsi="Arial" w:cstheme="majorBidi"/>
      <w:spacing w:val="-10"/>
      <w:kern w:val="28"/>
      <w:sz w:val="56"/>
      <w:szCs w:val="56"/>
      <w14:ligatures w14:val="none"/>
    </w:rPr>
  </w:style>
  <w:style w:type="character" w:styleId="SubtleEmphasis">
    <w:name w:val="Subtle Emphasis"/>
    <w:basedOn w:val="DefaultParagraphFont"/>
    <w:uiPriority w:val="19"/>
    <w:qFormat/>
    <w:rsid w:val="00EE4CE2"/>
    <w:rPr>
      <w:rFonts w:ascii="Arial" w:hAnsi="Arial"/>
      <w:i/>
      <w:iCs/>
      <w:color w:val="404040" w:themeColor="text1" w:themeTint="BF"/>
    </w:rPr>
  </w:style>
  <w:style w:type="character" w:styleId="Emphasis">
    <w:name w:val="Emphasis"/>
    <w:basedOn w:val="DefaultParagraphFont"/>
    <w:uiPriority w:val="20"/>
    <w:qFormat/>
    <w:rsid w:val="00EE4CE2"/>
    <w:rPr>
      <w:rFonts w:ascii="Arial" w:hAnsi="Arial"/>
      <w:i/>
      <w:iCs/>
    </w:rPr>
  </w:style>
  <w:style w:type="character" w:styleId="IntenseEmphasis">
    <w:name w:val="Intense Emphasis"/>
    <w:basedOn w:val="DefaultParagraphFont"/>
    <w:uiPriority w:val="21"/>
    <w:qFormat/>
    <w:rsid w:val="00EE4CE2"/>
    <w:rPr>
      <w:rFonts w:ascii="Arial" w:hAnsi="Arial"/>
      <w:i/>
      <w:iCs/>
      <w:color w:val="422046" w:themeColor="accent1" w:themeShade="BF"/>
    </w:rPr>
  </w:style>
  <w:style w:type="character" w:styleId="Strong">
    <w:name w:val="Strong"/>
    <w:basedOn w:val="DefaultParagraphFont"/>
    <w:uiPriority w:val="22"/>
    <w:qFormat/>
    <w:rsid w:val="00EE4CE2"/>
    <w:rPr>
      <w:rFonts w:ascii="Arial" w:hAnsi="Arial"/>
      <w:b/>
      <w:bCs/>
    </w:rPr>
  </w:style>
  <w:style w:type="paragraph" w:styleId="Quote">
    <w:name w:val="Quote"/>
    <w:basedOn w:val="Normal"/>
    <w:next w:val="Normal"/>
    <w:link w:val="QuoteChar"/>
    <w:uiPriority w:val="29"/>
    <w:qFormat/>
    <w:rsid w:val="00EE4CE2"/>
    <w:pPr>
      <w:spacing w:before="160"/>
      <w:jc w:val="center"/>
    </w:pPr>
    <w:rPr>
      <w:rFonts w:asciiTheme="minorHAnsi" w:hAnsiTheme="minorHAnsi"/>
      <w:i/>
      <w:iCs/>
      <w:color w:val="404040" w:themeColor="text1" w:themeTint="BF"/>
      <w:spacing w:val="0"/>
      <w:kern w:val="2"/>
      <w:sz w:val="24"/>
      <w14:ligatures w14:val="standardContextual"/>
    </w:rPr>
  </w:style>
  <w:style w:type="character" w:customStyle="1" w:styleId="QuoteChar">
    <w:name w:val="Quote Char"/>
    <w:basedOn w:val="DefaultParagraphFont"/>
    <w:link w:val="Quote"/>
    <w:uiPriority w:val="29"/>
    <w:rsid w:val="00EE4CE2"/>
    <w:rPr>
      <w:i/>
      <w:iCs/>
      <w:color w:val="404040" w:themeColor="text1" w:themeTint="BF"/>
    </w:rPr>
  </w:style>
  <w:style w:type="paragraph" w:styleId="IntenseQuote">
    <w:name w:val="Intense Quote"/>
    <w:basedOn w:val="Normal"/>
    <w:next w:val="Normal"/>
    <w:link w:val="IntenseQuoteChar"/>
    <w:uiPriority w:val="30"/>
    <w:qFormat/>
    <w:rsid w:val="00EE4CE2"/>
    <w:pPr>
      <w:pBdr>
        <w:top w:val="single" w:sz="4" w:space="10" w:color="422046" w:themeColor="accent1" w:themeShade="BF"/>
        <w:bottom w:val="single" w:sz="4" w:space="10" w:color="422046" w:themeColor="accent1" w:themeShade="BF"/>
      </w:pBdr>
      <w:spacing w:before="360" w:after="360"/>
      <w:ind w:left="864" w:right="864"/>
      <w:jc w:val="center"/>
    </w:pPr>
    <w:rPr>
      <w:rFonts w:asciiTheme="minorHAnsi" w:hAnsiTheme="minorHAnsi"/>
      <w:i/>
      <w:iCs/>
      <w:color w:val="422046" w:themeColor="accent1" w:themeShade="BF"/>
      <w:spacing w:val="0"/>
      <w:kern w:val="2"/>
      <w:sz w:val="24"/>
      <w14:ligatures w14:val="standardContextual"/>
    </w:rPr>
  </w:style>
  <w:style w:type="character" w:customStyle="1" w:styleId="IntenseQuoteChar">
    <w:name w:val="Intense Quote Char"/>
    <w:basedOn w:val="DefaultParagraphFont"/>
    <w:link w:val="IntenseQuote"/>
    <w:uiPriority w:val="30"/>
    <w:rsid w:val="00EE4CE2"/>
    <w:rPr>
      <w:i/>
      <w:iCs/>
      <w:color w:val="422046" w:themeColor="accent1" w:themeShade="BF"/>
    </w:rPr>
  </w:style>
  <w:style w:type="character" w:styleId="SubtleReference">
    <w:name w:val="Subtle Reference"/>
    <w:basedOn w:val="DefaultParagraphFont"/>
    <w:uiPriority w:val="31"/>
    <w:qFormat/>
    <w:rsid w:val="00EE4CE2"/>
    <w:rPr>
      <w:rFonts w:ascii="Arial" w:hAnsi="Arial"/>
      <w:smallCaps/>
      <w:color w:val="5A5A5A" w:themeColor="text1" w:themeTint="A5"/>
    </w:rPr>
  </w:style>
  <w:style w:type="character" w:styleId="IntenseReference">
    <w:name w:val="Intense Reference"/>
    <w:basedOn w:val="DefaultParagraphFont"/>
    <w:uiPriority w:val="32"/>
    <w:qFormat/>
    <w:rsid w:val="00EE4CE2"/>
    <w:rPr>
      <w:rFonts w:ascii="Arial" w:hAnsi="Arial"/>
      <w:b/>
      <w:bCs/>
      <w:smallCaps/>
      <w:color w:val="422046" w:themeColor="accent1" w:themeShade="BF"/>
      <w:spacing w:val="5"/>
    </w:rPr>
  </w:style>
  <w:style w:type="character" w:styleId="BookTitle">
    <w:name w:val="Book Title"/>
    <w:basedOn w:val="DefaultParagraphFont"/>
    <w:uiPriority w:val="33"/>
    <w:qFormat/>
    <w:rsid w:val="00EE4CE2"/>
    <w:rPr>
      <w:rFonts w:ascii="Arial" w:hAnsi="Arial"/>
      <w:b/>
      <w:bCs/>
      <w:i/>
      <w:iCs/>
      <w:spacing w:val="5"/>
    </w:rPr>
  </w:style>
  <w:style w:type="paragraph" w:styleId="ListParagraph">
    <w:name w:val="List Paragraph"/>
    <w:basedOn w:val="BulletParagraph1"/>
    <w:uiPriority w:val="34"/>
    <w:qFormat/>
    <w:rsid w:val="0059566D"/>
  </w:style>
  <w:style w:type="paragraph" w:styleId="ListNumber">
    <w:name w:val="List Number"/>
    <w:basedOn w:val="NumberParagraph1"/>
    <w:uiPriority w:val="99"/>
    <w:unhideWhenUsed/>
    <w:qFormat/>
    <w:rsid w:val="003F3588"/>
    <w:pPr>
      <w:numPr>
        <w:numId w:val="13"/>
      </w:numPr>
      <w:ind w:left="568" w:hanging="284"/>
      <w:contextualSpacing/>
    </w:pPr>
    <w:rPr>
      <w:rFonts w:eastAsia="Aptos"/>
    </w:rPr>
  </w:style>
  <w:style w:type="character" w:styleId="Hyperlink">
    <w:name w:val="Hyperlink"/>
    <w:uiPriority w:val="99"/>
    <w:rsid w:val="00481149"/>
    <w:rPr>
      <w:rFonts w:ascii="Arial" w:hAnsi="Arial"/>
      <w:b w:val="0"/>
      <w:color w:val="0070C0"/>
      <w:u w:val="single"/>
    </w:rPr>
  </w:style>
  <w:style w:type="character" w:customStyle="1" w:styleId="Heading2Char">
    <w:name w:val="Heading 2 Char"/>
    <w:basedOn w:val="DefaultParagraphFont"/>
    <w:link w:val="Heading2"/>
    <w:uiPriority w:val="9"/>
    <w:rsid w:val="00FC7999"/>
    <w:rPr>
      <w:rFonts w:ascii="Arial" w:eastAsia="Times New Roman" w:hAnsi="Arial" w:cs="Times New Roman"/>
      <w:color w:val="422046"/>
      <w:spacing w:val="3"/>
      <w:kern w:val="0"/>
      <w:sz w:val="28"/>
      <w:szCs w:val="32"/>
      <w14:ligatures w14:val="none"/>
    </w:rPr>
  </w:style>
  <w:style w:type="character" w:customStyle="1" w:styleId="Heading3Char">
    <w:name w:val="Heading 3 Char"/>
    <w:basedOn w:val="DefaultParagraphFont"/>
    <w:link w:val="Heading3"/>
    <w:uiPriority w:val="9"/>
    <w:rsid w:val="00F17309"/>
    <w:rPr>
      <w:rFonts w:ascii="Arial" w:eastAsia="Times New Roman" w:hAnsi="Arial" w:cs="Times New Roman"/>
      <w:color w:val="422046"/>
      <w:spacing w:val="3"/>
      <w:kern w:val="0"/>
      <w:szCs w:val="28"/>
      <w14:ligatures w14:val="none"/>
    </w:rPr>
  </w:style>
  <w:style w:type="character" w:customStyle="1" w:styleId="Heading5Char">
    <w:name w:val="Heading 5 Char"/>
    <w:basedOn w:val="DefaultParagraphFont"/>
    <w:link w:val="Heading5"/>
    <w:uiPriority w:val="9"/>
    <w:rsid w:val="00F17309"/>
    <w:rPr>
      <w:rFonts w:ascii="Arial" w:eastAsia="Times New Roman" w:hAnsi="Arial" w:cs="Times New Roman"/>
      <w:i/>
      <w:iCs/>
      <w:color w:val="422046"/>
      <w:spacing w:val="3"/>
      <w:kern w:val="0"/>
      <w:sz w:val="20"/>
      <w14:ligatures w14:val="none"/>
    </w:rPr>
  </w:style>
  <w:style w:type="numbering" w:customStyle="1" w:styleId="NumberedList">
    <w:name w:val="Numbered List"/>
    <w:uiPriority w:val="99"/>
    <w:rsid w:val="001E1CE2"/>
    <w:pPr>
      <w:numPr>
        <w:numId w:val="6"/>
      </w:numPr>
    </w:pPr>
  </w:style>
  <w:style w:type="numbering" w:customStyle="1" w:styleId="NumberList">
    <w:name w:val="Number List"/>
    <w:uiPriority w:val="99"/>
    <w:rsid w:val="00981D60"/>
    <w:pPr>
      <w:numPr>
        <w:numId w:val="7"/>
      </w:numPr>
    </w:pPr>
  </w:style>
  <w:style w:type="paragraph" w:customStyle="1" w:styleId="Number">
    <w:name w:val="Number"/>
    <w:basedOn w:val="ListParagraph"/>
    <w:qFormat/>
    <w:rsid w:val="00981D60"/>
    <w:pPr>
      <w:tabs>
        <w:tab w:val="num" w:pos="340"/>
      </w:tabs>
      <w:spacing w:after="60"/>
      <w:contextualSpacing w:val="0"/>
    </w:pPr>
  </w:style>
  <w:style w:type="paragraph" w:customStyle="1" w:styleId="NumberParagraph">
    <w:name w:val="Number Paragraph"/>
    <w:basedOn w:val="ListParagraph"/>
    <w:qFormat/>
    <w:rsid w:val="00007AFA"/>
    <w:pPr>
      <w:numPr>
        <w:numId w:val="12"/>
      </w:numPr>
      <w:ind w:left="568" w:hanging="284"/>
    </w:pPr>
  </w:style>
  <w:style w:type="paragraph" w:customStyle="1" w:styleId="NumberParagraph1">
    <w:name w:val="Number Paragraph 1"/>
    <w:rsid w:val="00981D60"/>
    <w:pPr>
      <w:ind w:left="568" w:hanging="284"/>
    </w:pPr>
    <w:rPr>
      <w:rFonts w:ascii="Arial" w:eastAsia="Times New Roman" w:hAnsi="Arial" w:cs="Times New Roman"/>
      <w:spacing w:val="3"/>
      <w:kern w:val="0"/>
      <w:sz w:val="20"/>
      <w:szCs w:val="20"/>
      <w14:ligatures w14:val="none"/>
    </w:rPr>
  </w:style>
  <w:style w:type="paragraph" w:customStyle="1" w:styleId="NumberParagraph2">
    <w:name w:val="Number Paragraph 2"/>
    <w:rsid w:val="00390FAF"/>
    <w:pPr>
      <w:numPr>
        <w:ilvl w:val="1"/>
        <w:numId w:val="12"/>
      </w:numPr>
      <w:spacing w:after="100" w:afterAutospacing="1" w:line="288" w:lineRule="auto"/>
      <w:contextualSpacing/>
    </w:pPr>
    <w:rPr>
      <w:rFonts w:ascii="Arial" w:eastAsia="Times New Roman" w:hAnsi="Arial" w:cs="Times New Roman"/>
      <w:spacing w:val="3"/>
      <w:kern w:val="0"/>
      <w:sz w:val="20"/>
      <w:szCs w:val="20"/>
      <w14:ligatures w14:val="none"/>
    </w:rPr>
  </w:style>
  <w:style w:type="paragraph" w:customStyle="1" w:styleId="NumberParagraph3">
    <w:name w:val="Number Paragraph 3"/>
    <w:rsid w:val="00390FAF"/>
    <w:pPr>
      <w:numPr>
        <w:ilvl w:val="2"/>
        <w:numId w:val="12"/>
      </w:numPr>
      <w:spacing w:after="100" w:afterAutospacing="1" w:line="288" w:lineRule="auto"/>
      <w:ind w:left="1135" w:hanging="284"/>
      <w:contextualSpacing/>
    </w:pPr>
    <w:rPr>
      <w:rFonts w:ascii="Arial" w:eastAsia="Times New Roman" w:hAnsi="Arial" w:cs="Times New Roman"/>
      <w:spacing w:val="3"/>
      <w:kern w:val="0"/>
      <w:sz w:val="20"/>
      <w:szCs w:val="20"/>
      <w14:ligatures w14:val="none"/>
    </w:rPr>
  </w:style>
  <w:style w:type="paragraph" w:customStyle="1" w:styleId="NumberParagraph4">
    <w:name w:val="Number Paragraph 4"/>
    <w:rsid w:val="00A00EEF"/>
    <w:pPr>
      <w:numPr>
        <w:ilvl w:val="3"/>
        <w:numId w:val="12"/>
      </w:numPr>
      <w:spacing w:after="100" w:afterAutospacing="1" w:line="288" w:lineRule="auto"/>
      <w:ind w:left="1418" w:hanging="284"/>
      <w:contextualSpacing/>
    </w:pPr>
    <w:rPr>
      <w:rFonts w:ascii="Arial" w:eastAsia="Times New Roman" w:hAnsi="Arial" w:cs="Times New Roman"/>
      <w:spacing w:val="3"/>
      <w:kern w:val="0"/>
      <w:sz w:val="20"/>
      <w:szCs w:val="20"/>
      <w14:ligatures w14:val="none"/>
    </w:rPr>
  </w:style>
  <w:style w:type="numbering" w:customStyle="1" w:styleId="MultiList">
    <w:name w:val="Multi List"/>
    <w:uiPriority w:val="99"/>
    <w:rsid w:val="00981D60"/>
    <w:pPr>
      <w:numPr>
        <w:numId w:val="12"/>
      </w:numPr>
    </w:pPr>
  </w:style>
  <w:style w:type="character" w:customStyle="1" w:styleId="Heading4Char">
    <w:name w:val="Heading 4 Char"/>
    <w:basedOn w:val="DefaultParagraphFont"/>
    <w:link w:val="Heading4"/>
    <w:uiPriority w:val="9"/>
    <w:rsid w:val="00F17309"/>
    <w:rPr>
      <w:rFonts w:ascii="Arial" w:eastAsia="Times New Roman" w:hAnsi="Arial" w:cs="Times New Roman"/>
      <w:b/>
      <w:bCs/>
      <w:i/>
      <w:iCs/>
      <w:color w:val="422046"/>
      <w:spacing w:val="3"/>
      <w:kern w:val="0"/>
      <w:sz w:val="20"/>
      <w14:ligatures w14:val="none"/>
    </w:rPr>
  </w:style>
  <w:style w:type="character" w:customStyle="1" w:styleId="Heading6Char">
    <w:name w:val="Heading 6 Char"/>
    <w:basedOn w:val="DefaultParagraphFont"/>
    <w:link w:val="Heading6"/>
    <w:uiPriority w:val="9"/>
    <w:semiHidden/>
    <w:rsid w:val="00F46F14"/>
    <w:rPr>
      <w:rFonts w:eastAsiaTheme="majorEastAsia" w:cstheme="majorBidi"/>
      <w:i/>
      <w:iCs/>
      <w:color w:val="595959" w:themeColor="text1" w:themeTint="A6"/>
      <w:spacing w:val="3"/>
      <w:kern w:val="0"/>
      <w:sz w:val="20"/>
      <w14:ligatures w14:val="none"/>
    </w:rPr>
  </w:style>
  <w:style w:type="character" w:customStyle="1" w:styleId="Heading7Char">
    <w:name w:val="Heading 7 Char"/>
    <w:basedOn w:val="DefaultParagraphFont"/>
    <w:link w:val="Heading7"/>
    <w:uiPriority w:val="9"/>
    <w:semiHidden/>
    <w:rsid w:val="00F46F14"/>
    <w:rPr>
      <w:rFonts w:eastAsiaTheme="majorEastAsia" w:cstheme="majorBidi"/>
      <w:color w:val="595959" w:themeColor="text1" w:themeTint="A6"/>
      <w:spacing w:val="3"/>
      <w:kern w:val="0"/>
      <w:sz w:val="20"/>
      <w14:ligatures w14:val="none"/>
    </w:rPr>
  </w:style>
  <w:style w:type="character" w:customStyle="1" w:styleId="Heading8Char">
    <w:name w:val="Heading 8 Char"/>
    <w:basedOn w:val="DefaultParagraphFont"/>
    <w:link w:val="Heading8"/>
    <w:uiPriority w:val="9"/>
    <w:semiHidden/>
    <w:rsid w:val="00F46F14"/>
    <w:rPr>
      <w:rFonts w:eastAsiaTheme="majorEastAsia" w:cstheme="majorBidi"/>
      <w:i/>
      <w:iCs/>
      <w:color w:val="272727" w:themeColor="text1" w:themeTint="D8"/>
      <w:spacing w:val="3"/>
      <w:kern w:val="0"/>
      <w:sz w:val="20"/>
      <w14:ligatures w14:val="none"/>
    </w:rPr>
  </w:style>
  <w:style w:type="character" w:customStyle="1" w:styleId="Heading9Char">
    <w:name w:val="Heading 9 Char"/>
    <w:basedOn w:val="DefaultParagraphFont"/>
    <w:link w:val="Heading9"/>
    <w:uiPriority w:val="9"/>
    <w:semiHidden/>
    <w:rsid w:val="00F46F14"/>
    <w:rPr>
      <w:rFonts w:eastAsiaTheme="majorEastAsia" w:cstheme="majorBidi"/>
      <w:color w:val="272727" w:themeColor="text1" w:themeTint="D8"/>
      <w:spacing w:val="3"/>
      <w:kern w:val="0"/>
      <w:sz w:val="20"/>
      <w14:ligatures w14:val="none"/>
    </w:rPr>
  </w:style>
  <w:style w:type="paragraph" w:styleId="Subtitle">
    <w:name w:val="Subtitle"/>
    <w:basedOn w:val="Normal"/>
    <w:next w:val="Normal"/>
    <w:link w:val="SubtitleChar"/>
    <w:uiPriority w:val="11"/>
    <w:qFormat/>
    <w:rsid w:val="00FC7999"/>
    <w:pPr>
      <w:numPr>
        <w:ilvl w:val="1"/>
      </w:numPr>
    </w:pPr>
    <w:rPr>
      <w:rFonts w:eastAsia="Times New Roman" w:cs="Times New Roman"/>
      <w:color w:val="116765"/>
      <w:spacing w:val="15"/>
      <w:sz w:val="28"/>
      <w:szCs w:val="28"/>
    </w:rPr>
  </w:style>
  <w:style w:type="character" w:customStyle="1" w:styleId="SubtitleChar">
    <w:name w:val="Subtitle Char"/>
    <w:basedOn w:val="DefaultParagraphFont"/>
    <w:link w:val="Subtitle"/>
    <w:uiPriority w:val="11"/>
    <w:rsid w:val="00FC7999"/>
    <w:rPr>
      <w:rFonts w:ascii="Arial" w:eastAsia="Times New Roman" w:hAnsi="Arial" w:cs="Times New Roman"/>
      <w:color w:val="116765"/>
      <w:spacing w:val="15"/>
      <w:kern w:val="0"/>
      <w:sz w:val="28"/>
      <w:szCs w:val="28"/>
      <w14:ligatures w14:val="none"/>
    </w:rPr>
  </w:style>
  <w:style w:type="table" w:customStyle="1" w:styleId="DSSDatatablestyle">
    <w:name w:val="DSS Data table style"/>
    <w:basedOn w:val="TableNormal"/>
    <w:uiPriority w:val="99"/>
    <w:rsid w:val="00F46F14"/>
    <w:pPr>
      <w:spacing w:after="0" w:line="240" w:lineRule="auto"/>
    </w:pPr>
    <w:rPr>
      <w:kern w:val="0"/>
      <w:sz w:val="22"/>
      <w14:ligatures w14:val="none"/>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Aptos" w:hAnsi="Aptos"/>
        <w:b/>
        <w:i w:val="0"/>
        <w:color w:val="FFFFFF"/>
        <w:sz w:val="22"/>
        <w:u w:val="none"/>
      </w:rPr>
      <w:tblPr/>
      <w:tcPr>
        <w:shd w:val="clear" w:color="auto" w:fill="592B5E"/>
      </w:tcPr>
    </w:tblStylePr>
    <w:tblStylePr w:type="lastRow">
      <w:pPr>
        <w:jc w:val="left"/>
      </w:pPr>
      <w:rPr>
        <w:rFonts w:ascii="Aptos" w:hAnsi="Aptos"/>
        <w:b/>
        <w:sz w:val="22"/>
        <w:u w:val="none"/>
      </w:rPr>
      <w:tblPr/>
      <w:tcPr>
        <w:tcBorders>
          <w:top w:val="single" w:sz="4" w:space="0" w:color="116765"/>
        </w:tcBorders>
        <w:shd w:val="clear" w:color="auto" w:fill="FFFFFF"/>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CEE3AD"/>
      </w:tcPr>
    </w:tblStylePr>
    <w:tblStylePr w:type="band1Horz">
      <w:pPr>
        <w:jc w:val="left"/>
      </w:pPr>
    </w:tblStylePr>
    <w:tblStylePr w:type="band2Horz">
      <w:pPr>
        <w:jc w:val="left"/>
      </w:pPr>
      <w:rPr>
        <w:rFonts w:ascii="Aptos" w:hAnsi="Aptos"/>
        <w:sz w:val="22"/>
      </w:rPr>
      <w:tblPr/>
      <w:tcPr>
        <w:shd w:val="clear" w:color="auto" w:fill="F2F2F2"/>
      </w:tcPr>
    </w:tblStylePr>
  </w:style>
  <w:style w:type="paragraph" w:customStyle="1" w:styleId="Bulletparagraph4">
    <w:name w:val="Bullet paragraph 4"/>
    <w:qFormat/>
    <w:rsid w:val="007F280C"/>
    <w:pPr>
      <w:numPr>
        <w:ilvl w:val="3"/>
        <w:numId w:val="23"/>
      </w:numPr>
      <w:spacing w:after="100" w:afterAutospacing="1" w:line="288" w:lineRule="auto"/>
      <w:contextualSpacing/>
    </w:pPr>
    <w:rPr>
      <w:rFonts w:ascii="Arial" w:hAnsi="Arial"/>
      <w:spacing w:val="3"/>
      <w:kern w:val="0"/>
      <w:sz w:val="20"/>
      <w14:ligatures w14:val="none"/>
    </w:rPr>
  </w:style>
  <w:style w:type="numbering" w:customStyle="1" w:styleId="Bullet">
    <w:name w:val="Bullet"/>
    <w:uiPriority w:val="99"/>
    <w:rsid w:val="00F46F14"/>
    <w:pPr>
      <w:numPr>
        <w:numId w:val="22"/>
      </w:numPr>
    </w:pPr>
  </w:style>
  <w:style w:type="paragraph" w:customStyle="1" w:styleId="BulletParagraph3">
    <w:name w:val="Bullet Paragraph 3"/>
    <w:qFormat/>
    <w:rsid w:val="007F280C"/>
    <w:pPr>
      <w:numPr>
        <w:ilvl w:val="2"/>
        <w:numId w:val="23"/>
      </w:numPr>
      <w:spacing w:after="100" w:afterAutospacing="1" w:line="288" w:lineRule="auto"/>
      <w:ind w:left="1135" w:hanging="284"/>
      <w:contextualSpacing/>
    </w:pPr>
    <w:rPr>
      <w:rFonts w:ascii="Arial" w:hAnsi="Arial"/>
      <w:spacing w:val="3"/>
      <w:kern w:val="0"/>
      <w:sz w:val="20"/>
      <w14:ligatures w14:val="none"/>
    </w:rPr>
  </w:style>
  <w:style w:type="paragraph" w:customStyle="1" w:styleId="BulletParagraph2">
    <w:name w:val="Bullet Paragraph 2"/>
    <w:qFormat/>
    <w:rsid w:val="007F280C"/>
    <w:pPr>
      <w:numPr>
        <w:ilvl w:val="1"/>
        <w:numId w:val="23"/>
      </w:numPr>
      <w:spacing w:after="100" w:afterAutospacing="1" w:line="288" w:lineRule="auto"/>
      <w:contextualSpacing/>
    </w:pPr>
    <w:rPr>
      <w:rFonts w:ascii="Arial" w:hAnsi="Arial"/>
      <w:spacing w:val="3"/>
      <w:kern w:val="0"/>
      <w:sz w:val="20"/>
      <w14:ligatures w14:val="none"/>
    </w:rPr>
  </w:style>
  <w:style w:type="paragraph" w:customStyle="1" w:styleId="BulletParagraph1">
    <w:name w:val="Bullet Paragraph 1"/>
    <w:qFormat/>
    <w:rsid w:val="007F280C"/>
    <w:pPr>
      <w:numPr>
        <w:numId w:val="23"/>
      </w:numPr>
      <w:spacing w:after="100" w:afterAutospacing="1" w:line="288" w:lineRule="auto"/>
      <w:ind w:left="568" w:hanging="284"/>
      <w:contextualSpacing/>
    </w:pPr>
    <w:rPr>
      <w:rFonts w:ascii="Arial" w:hAnsi="Arial"/>
      <w:spacing w:val="3"/>
      <w:kern w:val="0"/>
      <w:sz w:val="20"/>
      <w14:ligatures w14:val="none"/>
    </w:rPr>
  </w:style>
  <w:style w:type="paragraph" w:customStyle="1" w:styleId="BlockQuote">
    <w:name w:val="Block Quote"/>
    <w:basedOn w:val="Normal"/>
    <w:rsid w:val="0055379A"/>
    <w:pPr>
      <w:pBdr>
        <w:left w:val="single" w:sz="18" w:space="16" w:color="FAB545"/>
      </w:pBdr>
      <w:shd w:val="clear" w:color="auto" w:fill="FFFFFF"/>
      <w:spacing w:before="280" w:after="280"/>
      <w:ind w:left="601"/>
    </w:pPr>
    <w:rPr>
      <w:rFonts w:eastAsia="Times New Roman" w:cs="Times New Roman"/>
      <w:color w:val="422046"/>
      <w:szCs w:val="20"/>
    </w:rPr>
  </w:style>
  <w:style w:type="paragraph" w:customStyle="1" w:styleId="TableNote">
    <w:name w:val="Table Note"/>
    <w:basedOn w:val="Normal"/>
    <w:qFormat/>
    <w:rsid w:val="00885193"/>
    <w:pPr>
      <w:spacing w:before="120"/>
      <w:contextualSpacing/>
    </w:pPr>
    <w:rPr>
      <w:rFonts w:eastAsia="Aptos" w:cs="Times New Roman"/>
      <w:b/>
      <w:color w:val="595959"/>
    </w:rPr>
  </w:style>
  <w:style w:type="paragraph" w:customStyle="1" w:styleId="NoSpacing1">
    <w:name w:val="No Spacing1"/>
    <w:basedOn w:val="Normal"/>
    <w:qFormat/>
    <w:rsid w:val="00C72C88"/>
    <w:pPr>
      <w:spacing w:after="0" w:line="240" w:lineRule="auto"/>
    </w:pPr>
    <w:rPr>
      <w:rFonts w:eastAsia="Aptos" w:cs="Times New Roman"/>
    </w:rPr>
  </w:style>
  <w:style w:type="paragraph" w:customStyle="1" w:styleId="HeaderSpace">
    <w:name w:val="Header Space"/>
    <w:basedOn w:val="Normal"/>
    <w:qFormat/>
    <w:rsid w:val="00423754"/>
    <w:pPr>
      <w:spacing w:after="2040"/>
    </w:pPr>
    <w:rPr>
      <w:rFonts w:eastAsia="Aptos" w:cs="Times New Roman"/>
      <w:noProof/>
    </w:rPr>
  </w:style>
  <w:style w:type="paragraph" w:customStyle="1" w:styleId="TableHeading">
    <w:name w:val="Table Heading"/>
    <w:basedOn w:val="Normal"/>
    <w:qFormat/>
    <w:rsid w:val="00423754"/>
    <w:pPr>
      <w:spacing w:before="360"/>
    </w:pPr>
    <w:rPr>
      <w:rFonts w:eastAsia="Aptos" w:cs="Times New Roman"/>
      <w:b/>
      <w:bCs/>
      <w:sz w:val="22"/>
      <w:szCs w:val="18"/>
    </w:rPr>
  </w:style>
  <w:style w:type="paragraph" w:customStyle="1" w:styleId="TableHeaderRow">
    <w:name w:val="Table Header Row"/>
    <w:basedOn w:val="Normal"/>
    <w:qFormat/>
    <w:rsid w:val="00C05039"/>
    <w:pPr>
      <w:spacing w:after="0" w:line="240" w:lineRule="auto"/>
    </w:pPr>
    <w:rPr>
      <w:rFonts w:eastAsia="Aptos" w:cs="Times New Roman"/>
      <w:b/>
      <w:color w:val="FFFFFF"/>
    </w:rPr>
  </w:style>
  <w:style w:type="paragraph" w:customStyle="1" w:styleId="NoSpacingBold">
    <w:name w:val="No Spacing Bold"/>
    <w:basedOn w:val="Normal"/>
    <w:qFormat/>
    <w:rsid w:val="00026176"/>
    <w:pPr>
      <w:spacing w:after="0" w:line="240" w:lineRule="auto"/>
    </w:pPr>
    <w:rPr>
      <w:rFonts w:eastAsia="Aptos" w:cs="Times New Roman"/>
      <w:b/>
    </w:rPr>
  </w:style>
  <w:style w:type="paragraph" w:styleId="Header">
    <w:name w:val="header"/>
    <w:basedOn w:val="Normal"/>
    <w:link w:val="HeaderChar"/>
    <w:uiPriority w:val="99"/>
    <w:unhideWhenUsed/>
    <w:rsid w:val="007C2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8AD"/>
    <w:rPr>
      <w:rFonts w:ascii="Arial" w:hAnsi="Arial"/>
      <w:spacing w:val="3"/>
      <w:kern w:val="0"/>
      <w:sz w:val="20"/>
      <w14:ligatures w14:val="none"/>
    </w:rPr>
  </w:style>
  <w:style w:type="paragraph" w:styleId="Footer">
    <w:name w:val="footer"/>
    <w:basedOn w:val="Normal"/>
    <w:link w:val="FooterChar"/>
    <w:uiPriority w:val="99"/>
    <w:unhideWhenUsed/>
    <w:rsid w:val="007C2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8AD"/>
    <w:rPr>
      <w:rFonts w:ascii="Arial" w:hAnsi="Arial"/>
      <w:spacing w:val="3"/>
      <w:kern w:val="0"/>
      <w:sz w:val="20"/>
      <w14:ligatures w14:val="none"/>
    </w:rPr>
  </w:style>
  <w:style w:type="paragraph" w:styleId="EndnoteText">
    <w:name w:val="endnote text"/>
    <w:basedOn w:val="Normal"/>
    <w:link w:val="EndnoteTextChar"/>
    <w:uiPriority w:val="99"/>
    <w:unhideWhenUsed/>
    <w:qFormat/>
    <w:rsid w:val="00DF4C46"/>
    <w:pPr>
      <w:spacing w:after="0" w:line="240" w:lineRule="auto"/>
    </w:pPr>
    <w:rPr>
      <w:szCs w:val="20"/>
    </w:rPr>
  </w:style>
  <w:style w:type="character" w:customStyle="1" w:styleId="EndnoteTextChar">
    <w:name w:val="Endnote Text Char"/>
    <w:basedOn w:val="DefaultParagraphFont"/>
    <w:link w:val="EndnoteText"/>
    <w:uiPriority w:val="99"/>
    <w:rsid w:val="00DF4C46"/>
    <w:rPr>
      <w:rFonts w:ascii="Arial" w:hAnsi="Arial"/>
      <w:spacing w:val="3"/>
      <w:kern w:val="0"/>
      <w:sz w:val="20"/>
      <w:szCs w:val="20"/>
      <w14:ligatures w14:val="none"/>
    </w:rPr>
  </w:style>
  <w:style w:type="character" w:styleId="EndnoteReference">
    <w:name w:val="endnote reference"/>
    <w:aliases w:val="QUOTE"/>
    <w:basedOn w:val="DefaultParagraphFont"/>
    <w:semiHidden/>
    <w:unhideWhenUsed/>
    <w:qFormat/>
    <w:rsid w:val="00DF4C46"/>
    <w:rPr>
      <w:vertAlign w:val="superscript"/>
    </w:rPr>
  </w:style>
  <w:style w:type="character" w:styleId="UnresolvedMention">
    <w:name w:val="Unresolved Mention"/>
    <w:basedOn w:val="DefaultParagraphFont"/>
    <w:uiPriority w:val="99"/>
    <w:semiHidden/>
    <w:unhideWhenUsed/>
    <w:rsid w:val="00733B62"/>
    <w:rPr>
      <w:color w:val="605E5C"/>
      <w:shd w:val="clear" w:color="auto" w:fill="E1DFDD"/>
    </w:rPr>
  </w:style>
  <w:style w:type="paragraph" w:styleId="NormalWeb">
    <w:name w:val="Normal (Web)"/>
    <w:basedOn w:val="Normal"/>
    <w:uiPriority w:val="99"/>
    <w:semiHidden/>
    <w:unhideWhenUsed/>
    <w:rsid w:val="00681E15"/>
    <w:rPr>
      <w:rFonts w:ascii="Times New Roman" w:hAnsi="Times New Roman" w:cs="Times New Roman"/>
      <w:sz w:val="24"/>
    </w:rPr>
  </w:style>
  <w:style w:type="numbering" w:customStyle="1" w:styleId="DSSBulletList">
    <w:name w:val="DSS Bullet List"/>
    <w:uiPriority w:val="99"/>
    <w:rsid w:val="001C082E"/>
    <w:pPr>
      <w:numPr>
        <w:numId w:val="33"/>
      </w:numPr>
    </w:pPr>
  </w:style>
  <w:style w:type="paragraph" w:styleId="FootnoteText">
    <w:name w:val="footnote text"/>
    <w:basedOn w:val="Normal"/>
    <w:link w:val="FootnoteTextChar"/>
    <w:uiPriority w:val="99"/>
    <w:semiHidden/>
    <w:unhideWhenUsed/>
    <w:rsid w:val="001C082E"/>
    <w:pPr>
      <w:spacing w:after="0" w:line="240" w:lineRule="auto"/>
    </w:pPr>
    <w:rPr>
      <w:rFonts w:asciiTheme="minorHAnsi" w:hAnsiTheme="minorHAnsi"/>
      <w:szCs w:val="20"/>
    </w:rPr>
  </w:style>
  <w:style w:type="character" w:customStyle="1" w:styleId="FootnoteTextChar">
    <w:name w:val="Footnote Text Char"/>
    <w:basedOn w:val="DefaultParagraphFont"/>
    <w:link w:val="FootnoteText"/>
    <w:uiPriority w:val="99"/>
    <w:semiHidden/>
    <w:rsid w:val="001C082E"/>
    <w:rPr>
      <w:spacing w:val="3"/>
      <w:kern w:val="0"/>
      <w:sz w:val="20"/>
      <w:szCs w:val="20"/>
      <w14:ligatures w14:val="none"/>
    </w:rPr>
  </w:style>
  <w:style w:type="character" w:styleId="FootnoteReference">
    <w:name w:val="footnote reference"/>
    <w:basedOn w:val="DefaultParagraphFont"/>
    <w:uiPriority w:val="99"/>
    <w:semiHidden/>
    <w:unhideWhenUsed/>
    <w:rsid w:val="001C082E"/>
    <w:rPr>
      <w:vertAlign w:val="superscript"/>
    </w:rPr>
  </w:style>
  <w:style w:type="character" w:styleId="FollowedHyperlink">
    <w:name w:val="FollowedHyperlink"/>
    <w:basedOn w:val="DefaultParagraphFont"/>
    <w:uiPriority w:val="99"/>
    <w:semiHidden/>
    <w:unhideWhenUsed/>
    <w:rsid w:val="00EF320C"/>
    <w:rPr>
      <w:color w:val="96607D" w:themeColor="followedHyperlink"/>
      <w:u w:val="single"/>
    </w:rPr>
  </w:style>
  <w:style w:type="character" w:styleId="CommentReference">
    <w:name w:val="annotation reference"/>
    <w:basedOn w:val="DefaultParagraphFont"/>
    <w:uiPriority w:val="99"/>
    <w:semiHidden/>
    <w:unhideWhenUsed/>
    <w:rsid w:val="002E198E"/>
    <w:rPr>
      <w:sz w:val="16"/>
      <w:szCs w:val="16"/>
    </w:rPr>
  </w:style>
  <w:style w:type="paragraph" w:styleId="CommentText">
    <w:name w:val="annotation text"/>
    <w:basedOn w:val="Normal"/>
    <w:link w:val="CommentTextChar"/>
    <w:uiPriority w:val="99"/>
    <w:unhideWhenUsed/>
    <w:rsid w:val="002E198E"/>
    <w:pPr>
      <w:spacing w:line="240" w:lineRule="auto"/>
    </w:pPr>
    <w:rPr>
      <w:szCs w:val="20"/>
    </w:rPr>
  </w:style>
  <w:style w:type="character" w:customStyle="1" w:styleId="CommentTextChar">
    <w:name w:val="Comment Text Char"/>
    <w:basedOn w:val="DefaultParagraphFont"/>
    <w:link w:val="CommentText"/>
    <w:uiPriority w:val="99"/>
    <w:rsid w:val="002E198E"/>
    <w:rPr>
      <w:rFonts w:ascii="Arial" w:hAnsi="Arial"/>
      <w:spacing w:val="3"/>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198E"/>
    <w:rPr>
      <w:b/>
      <w:bCs/>
    </w:rPr>
  </w:style>
  <w:style w:type="character" w:customStyle="1" w:styleId="CommentSubjectChar">
    <w:name w:val="Comment Subject Char"/>
    <w:basedOn w:val="CommentTextChar"/>
    <w:link w:val="CommentSubject"/>
    <w:uiPriority w:val="99"/>
    <w:semiHidden/>
    <w:rsid w:val="002E198E"/>
    <w:rPr>
      <w:rFonts w:ascii="Arial" w:hAnsi="Arial"/>
      <w:b/>
      <w:bCs/>
      <w:spacing w:val="3"/>
      <w:kern w:val="0"/>
      <w:sz w:val="20"/>
      <w:szCs w:val="20"/>
      <w14:ligatures w14:val="none"/>
    </w:rPr>
  </w:style>
  <w:style w:type="paragraph" w:styleId="Revision">
    <w:name w:val="Revision"/>
    <w:hidden/>
    <w:uiPriority w:val="99"/>
    <w:semiHidden/>
    <w:rsid w:val="00894C87"/>
    <w:pPr>
      <w:spacing w:after="0" w:line="240" w:lineRule="auto"/>
    </w:pPr>
    <w:rPr>
      <w:rFonts w:ascii="Arial" w:hAnsi="Arial"/>
      <w:spacing w:val="3"/>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theguardian.com/australia-news/2025/may/19/nsw-police-extraordinary-search-powers-a-blank-cheque-to-target-indigenous-youth-lawyers-say-ntwnfb" TargetMode="External"/><Relationship Id="rId21" Type="http://schemas.openxmlformats.org/officeDocument/2006/relationships/hyperlink" Target="https://www.unsw.edu.au/newsroom/news/2025/10/discipline-disadvantage-school-exclusion-nsw-needs-rethinking" TargetMode="External"/><Relationship Id="rId42" Type="http://schemas.openxmlformats.org/officeDocument/2006/relationships/hyperlink" Target="https://www.hrlc.org.au/news/accountability-and-justice-must-be-delivered-for-kumanjayi-walkers-family/" TargetMode="External"/><Relationship Id="rId47" Type="http://schemas.openxmlformats.org/officeDocument/2006/relationships/hyperlink" Target="https://www.coronerscourt.wa.gov.au/_files/inquest_2025/DODD_Cleveland_Keith.pdf" TargetMode="External"/><Relationship Id="rId63" Type="http://schemas.openxmlformats.org/officeDocument/2006/relationships/hyperlink" Target="https://assets.informz.net/lssa/data/images/Website/Submissions/HonFrankPangalloMLCreStatutesAmendmentCriminalJusticeMeasureBill2024.pdf" TargetMode="External"/><Relationship Id="rId68" Type="http://schemas.openxmlformats.org/officeDocument/2006/relationships/hyperlink" Target="https://www.legislation.qld.gov.au/view/pdf/bill.first.hrc/bill-2024-043" TargetMode="External"/><Relationship Id="rId84" Type="http://schemas.openxmlformats.org/officeDocument/2006/relationships/hyperlink" Target="https://www.ohchr.org/en/documents/general-comments-and-recommendations/general-comment-no-24-2019-childrens-rights-child" TargetMode="External"/><Relationship Id="rId16" Type="http://schemas.openxmlformats.org/officeDocument/2006/relationships/hyperlink" Target="https://www.orygen.org.au/Orygen-Institute/Policy-Areas/Population-groups/Aboriginal-and-Torres-Strait-Islander-young-people/Orygen-Aboriginal-torres-strait-islander-policy-br?ext" TargetMode="External"/><Relationship Id="rId11" Type="http://schemas.openxmlformats.org/officeDocument/2006/relationships/hyperlink" Target="https://www.pc.gov.au/inquiries/completed/closing-the-gap-review/report" TargetMode="External"/><Relationship Id="rId32" Type="http://schemas.openxmlformats.org/officeDocument/2006/relationships/hyperlink" Target="https://disability.royalcommission.gov.au/publications/final-report-complete-volume-formats" TargetMode="External"/><Relationship Id="rId37" Type="http://schemas.openxmlformats.org/officeDocument/2006/relationships/hyperlink" Target="https://cdn.craft.cloud/06ad3276-b3d9-4912-bcbb-37795aade9a8/assets/documents/Yoorrook-for-justice-report.pdf" TargetMode="External"/><Relationship Id="rId53" Type="http://schemas.openxmlformats.org/officeDocument/2006/relationships/hyperlink" Target="https://papers.ssrn.com/sol3/papers.cfm?abstract_id=3149103" TargetMode="External"/><Relationship Id="rId58" Type="http://schemas.openxmlformats.org/officeDocument/2006/relationships/hyperlink" Target="https://documents.parliament.qld.gov.au/events/han/2014/2014_03_18_WEEKLY.PDF" TargetMode="External"/><Relationship Id="rId74" Type="http://schemas.openxmlformats.org/officeDocument/2006/relationships/hyperlink" Target="https://www.abc.net.au/news/2025-05-22/new-adult-crime-adult-time-laws-pass-qld-parliament/105319192" TargetMode="External"/><Relationship Id="rId79" Type="http://schemas.openxmlformats.org/officeDocument/2006/relationships/hyperlink" Target="https://www.abc.net.au/news/2022-05-07/nt-government-legislation-prison-mistreatment-compensation-limit/101044834" TargetMode="External"/><Relationship Id="rId5" Type="http://schemas.openxmlformats.org/officeDocument/2006/relationships/hyperlink" Target="https://www.aihw.gov.au/reports/indigenous-australians/closing-the-gap-targets-key-findings-implications/contents/youth-justice" TargetMode="External"/><Relationship Id="rId19" Type="http://schemas.openxmlformats.org/officeDocument/2006/relationships/hyperlink" Target="https://www.aihw.gov.au/suicide-self-harm-monitoring/population-groups/first-nations-people" TargetMode="External"/><Relationship Id="rId14" Type="http://schemas.openxmlformats.org/officeDocument/2006/relationships/hyperlink" Target="https://digitallibrary.un.org/record/1303201?ln=en" TargetMode="External"/><Relationship Id="rId22" Type="http://schemas.openxmlformats.org/officeDocument/2006/relationships/hyperlink" Target="https://theconversation.com/aboriginal-children-as-young-as-5-are-getting-suspended-from-school-we-cant-close-the-gap-if-this-is-happening-235889" TargetMode="External"/><Relationship Id="rId27" Type="http://schemas.openxmlformats.org/officeDocument/2006/relationships/hyperlink" Target="https://doi.org/10.3390/socsci10020068" TargetMode="External"/><Relationship Id="rId30" Type="http://schemas.openxmlformats.org/officeDocument/2006/relationships/hyperlink" Target="https://humanrights.gov.au/resource-hub/human-rights/wiyi-yani-u-thangani" TargetMode="External"/><Relationship Id="rId35" Type="http://schemas.openxmlformats.org/officeDocument/2006/relationships/hyperlink" Target="https://www.rainbowknowledge.org/phase-2-results" TargetMode="External"/><Relationship Id="rId43" Type="http://schemas.openxmlformats.org/officeDocument/2006/relationships/hyperlink" Target="https://www.abc.net.au/news/2026-04-02/nt-police-update-kumanjayi-white-death-in-custody-investigation/106525980" TargetMode="External"/><Relationship Id="rId48" Type="http://schemas.openxmlformats.org/officeDocument/2006/relationships/hyperlink" Target="https://www.esafety.gov.au/sites/default/files/2023-03/Cool_beautiful_strange_and_scary_report.pdf" TargetMode="External"/><Relationship Id="rId56" Type="http://schemas.openxmlformats.org/officeDocument/2006/relationships/hyperlink" Target="https://documents.parliament.qld.gov.au/com/LACSC-4B8C/IQ-C393/trns-ph-12Aug2014.pdf" TargetMode="External"/><Relationship Id="rId64" Type="http://schemas.openxmlformats.org/officeDocument/2006/relationships/hyperlink" Target="https://www.crikey.com.au/2023/02/10/action-for-alice-2020-facebook-page-concerns/" TargetMode="External"/><Relationship Id="rId69" Type="http://schemas.openxmlformats.org/officeDocument/2006/relationships/hyperlink" Target="https://www.abc.net.au/news/2025-05-20/qld-un-criticises-adult-crime-adult-time-youth-justice-law/105312740" TargetMode="External"/><Relationship Id="rId77" Type="http://schemas.openxmlformats.org/officeDocument/2006/relationships/hyperlink" Target="https://www.sbs.com.au/nitv/nitv-news/article/nt-laws-capping-abuse-compensation-labelled-shameful/7wjamjhla" TargetMode="External"/><Relationship Id="rId8" Type="http://schemas.openxmlformats.org/officeDocument/2006/relationships/hyperlink" Target="https://www.aic.gov.au/sites/default/files/2026-02/ijc_bail_and_remand_across_australia.pdf" TargetMode="External"/><Relationship Id="rId51" Type="http://schemas.openxmlformats.org/officeDocument/2006/relationships/hyperlink" Target="https://doi.org/10.1002/jcop.23135" TargetMode="External"/><Relationship Id="rId72" Type="http://schemas.openxmlformats.org/officeDocument/2006/relationships/hyperlink" Target="https://www.news.com.au/national/politics/nt-chief-minister-adam-giles-wanted-to-put-criminals-in-a-big-concrete-hole/news-story/2635dc9b750d6354c5d1182391ee47dd" TargetMode="External"/><Relationship Id="rId80" Type="http://schemas.openxmlformats.org/officeDocument/2006/relationships/hyperlink" Target="https://www.sbs.com.au/nitv/article/man-who-cable-tied-broome-children-found-guilty-of-two-counts-of-aggravated-assault/59tcqzpac" TargetMode="External"/><Relationship Id="rId85" Type="http://schemas.openxmlformats.org/officeDocument/2006/relationships/hyperlink" Target="https://www.ohchr.org/en/documents/general-comments-and-recommendations/general-comment-no-24-2019-childrens-rights-child" TargetMode="External"/><Relationship Id="rId3" Type="http://schemas.openxmlformats.org/officeDocument/2006/relationships/hyperlink" Target="https://www.snaicc.org.au/wp-content/uploads/2026/01/Family-Matters-Report-2025-Web-v2.pdf" TargetMode="External"/><Relationship Id="rId12" Type="http://schemas.openxmlformats.org/officeDocument/2006/relationships/hyperlink" Target="https://cdn.craft.cloud/06ad3276-b3d9-4912-bcbb-37795aade9a8/assets/documents/Yoorrook-for-justice-report.pdf" TargetMode="External"/><Relationship Id="rId17" Type="http://schemas.openxmlformats.org/officeDocument/2006/relationships/hyperlink" Target="https://www.indigenousmhspc.gov.au/getattachment/15fbcd00-30f1-4170-acd3-206c3b884a61/aihw-2021-criminal-justice-system-20210804.pdf?v=1746" TargetMode="External"/><Relationship Id="rId25" Type="http://schemas.openxmlformats.org/officeDocument/2006/relationships/hyperlink" Target="https://dx.doi.org/10.2139/ssrn.5035436" TargetMode="External"/><Relationship Id="rId33" Type="http://schemas.openxmlformats.org/officeDocument/2006/relationships/hyperlink" Target="https://humanrights.gov.au/__data/assets/pdf_file/0025/25477/1807_help_way_earlier_-_accessible_0-1-2.pdf" TargetMode="External"/><Relationship Id="rId38" Type="http://schemas.openxmlformats.org/officeDocument/2006/relationships/hyperlink" Target="https://www.royalcommission.gov.au/child-detention/final-report" TargetMode="External"/><Relationship Id="rId46" Type="http://schemas.openxmlformats.org/officeDocument/2006/relationships/hyperlink" Target="https://agd.nt.gov.au/media/docs/inquest-finding-pubications/2001/johnno-wurramarba.pdf" TargetMode="External"/><Relationship Id="rId59" Type="http://schemas.openxmlformats.org/officeDocument/2006/relationships/hyperlink" Target="https://www.parliament.qld.gov.au/Work-of-the-Assembly/Tabled-Papers/docs/5414t4463/5414t4463.pdf" TargetMode="External"/><Relationship Id="rId67" Type="http://schemas.openxmlformats.org/officeDocument/2006/relationships/hyperlink" Target="https://www.aic.gov.au/sites/default/files/2026-02/ijc_bail_and_remand_across_australia.pdf" TargetMode="External"/><Relationship Id="rId20" Type="http://schemas.openxmlformats.org/officeDocument/2006/relationships/hyperlink" Target="https://theconversation.com/aboriginal-children-as-young-as-5-are-getting-suspended-from-school-we-cant-close-the-gap-if-this-is-happening-235889" TargetMode="External"/><Relationship Id="rId41" Type="http://schemas.openxmlformats.org/officeDocument/2006/relationships/hyperlink" Target="https://www.abc.net.au/news/2026-04-02/nt-police-update-kumanjayi-white-death-in-custody-investigation/106525980" TargetMode="External"/><Relationship Id="rId54" Type="http://schemas.openxmlformats.org/officeDocument/2006/relationships/hyperlink" Target="https://doi.org/10.4324/9780429288128" TargetMode="External"/><Relationship Id="rId62" Type="http://schemas.openxmlformats.org/officeDocument/2006/relationships/hyperlink" Target="https://statements.qld.gov.au/statements/101145" TargetMode="External"/><Relationship Id="rId70" Type="http://schemas.openxmlformats.org/officeDocument/2006/relationships/hyperlink" Target="https://nit.com.au/02-12-2025/21594/abhorrent-adult-time-sentencing-laws-to-pass-this-week-despite-widespread-concerns" TargetMode="External"/><Relationship Id="rId75" Type="http://schemas.openxmlformats.org/officeDocument/2006/relationships/hyperlink" Target="https://www.royalcommission.gov.au/child-detention/final-report" TargetMode="External"/><Relationship Id="rId83" Type="http://schemas.openxmlformats.org/officeDocument/2006/relationships/hyperlink" Target="https://digitallibrary.un.org/record/3843103?v=pdf" TargetMode="External"/><Relationship Id="rId1" Type="http://schemas.openxmlformats.org/officeDocument/2006/relationships/hyperlink" Target="https://www.ohchr.org/en/instruments-mechanisms/instruments/international-convention-elimination-all-forms-racial" TargetMode="External"/><Relationship Id="rId6" Type="http://schemas.openxmlformats.org/officeDocument/2006/relationships/hyperlink" Target="https://www.aihw.gov.au/reports/indigenous-australians/closing-the-gap-targets-key-findings-implications/contents/youth-justice" TargetMode="External"/><Relationship Id="rId15" Type="http://schemas.openxmlformats.org/officeDocument/2006/relationships/hyperlink" Target="https://www.aihw.gov.au/reports/indigenous-australians/closing-the-gap-targets-key-findings-implications/contents/youth-justice" TargetMode="External"/><Relationship Id="rId23" Type="http://schemas.openxmlformats.org/officeDocument/2006/relationships/hyperlink" Target="https://doi.org/10.3390/socsci10020068" TargetMode="External"/><Relationship Id="rId28" Type="http://schemas.openxmlformats.org/officeDocument/2006/relationships/hyperlink" Target="https://www.aihw.gov.au/reports/youth-justice/youth-detention-population-in-australia-2023/contents/first-nations-young-people" TargetMode="External"/><Relationship Id="rId36" Type="http://schemas.openxmlformats.org/officeDocument/2006/relationships/hyperlink" Target="https://www.childabuseroyalcommission.gov.au/contemporary-out-home-care" TargetMode="External"/><Relationship Id="rId49" Type="http://schemas.openxmlformats.org/officeDocument/2006/relationships/hyperlink" Target="https://www.infrastructure.gov.au/sites/default/files/documents/report-of-the-statutory-review-of-the-online-safety-act-2021-february-2025.pdf" TargetMode="External"/><Relationship Id="rId57" Type="http://schemas.openxmlformats.org/officeDocument/2006/relationships/hyperlink" Target="https://documents.parliament.qld.gov.au/com/LACSC-4B8C/IQ-C393/trns-ph-12Aug2014.pdf" TargetMode="External"/><Relationship Id="rId10" Type="http://schemas.openxmlformats.org/officeDocument/2006/relationships/hyperlink" Target="https://www.pc.gov.au/inquiries/completed/closing-the-gap-review/report" TargetMode="External"/><Relationship Id="rId31" Type="http://schemas.openxmlformats.org/officeDocument/2006/relationships/hyperlink" Target="https://humanrights.gov.au/resource-hub/human-rights/wiyi-yani-u-thangani" TargetMode="External"/><Relationship Id="rId44" Type="http://schemas.openxmlformats.org/officeDocument/2006/relationships/hyperlink" Target="https://docs.un.org/en/CCPR/C/GC/36" TargetMode="External"/><Relationship Id="rId52" Type="http://schemas.openxmlformats.org/officeDocument/2006/relationships/hyperlink" Target="https://doi.org/10.1093/acrefore/9780190264079.013.109" TargetMode="External"/><Relationship Id="rId60" Type="http://schemas.openxmlformats.org/officeDocument/2006/relationships/hyperlink" Target="https://documents.parliament.qld.gov.au/events/han/2014/2014_03_18_WEEKLY.PDF" TargetMode="External"/><Relationship Id="rId65" Type="http://schemas.openxmlformats.org/officeDocument/2006/relationships/hyperlink" Target="https://www.abc.net.au/news/2023-06-21/action-for-alice-springs-crime-facebook-page-hiatus/102498970" TargetMode="External"/><Relationship Id="rId73" Type="http://schemas.openxmlformats.org/officeDocument/2006/relationships/hyperlink" Target="https://webarchive.nla.gov.au/awa/20181010010126/https://childdetentionnt.royalcommission.gov.au/NT-public-hearings/Pages/Transcripts.aspx" TargetMode="External"/><Relationship Id="rId78" Type="http://schemas.openxmlformats.org/officeDocument/2006/relationships/hyperlink" Target="https://agd.nt.gov.au/law-reform-reviews/civil-law-reform/personal-liabilities-liabilities-damage-act-amendments" TargetMode="External"/><Relationship Id="rId81" Type="http://schemas.openxmlformats.org/officeDocument/2006/relationships/hyperlink" Target="https://www.sbs.com.au/nitv/article/life-sentence-court-hands-cassius-killers-their-penalties/xc2qmi0cw" TargetMode="External"/><Relationship Id="rId86" Type="http://schemas.openxmlformats.org/officeDocument/2006/relationships/hyperlink" Target="https://docs.un.org/en/CCPR/C/GC/36" TargetMode="External"/><Relationship Id="rId4" Type="http://schemas.openxmlformats.org/officeDocument/2006/relationships/hyperlink" Target="https://www.alrc.gov.au/wp-content/uploads/2019/08/final_report_133_amended1.pdf" TargetMode="External"/><Relationship Id="rId9" Type="http://schemas.openxmlformats.org/officeDocument/2006/relationships/hyperlink" Target="https://aifs.gov.au/resources/policy-and-practice-papers/child-protection-and-aboriginal-and-torres-strait-islander" TargetMode="External"/><Relationship Id="rId13" Type="http://schemas.openxmlformats.org/officeDocument/2006/relationships/hyperlink" Target="https://humanrights.gov.au/__data/assets/pdf_file/0025/25477/1807_help_way_earlier_-_accessible_0-1-2.pdf" TargetMode="External"/><Relationship Id="rId18" Type="http://schemas.openxmlformats.org/officeDocument/2006/relationships/hyperlink" Target="https://www.childprotection.sa.gov.au/research-and-publications/freedom-information/policy-documents/linked/res-care-supporting-cyp-at-risk-of-selfharm-and-suicide-procedure.pdf" TargetMode="External"/><Relationship Id="rId39" Type="http://schemas.openxmlformats.org/officeDocument/2006/relationships/hyperlink" Target="https://theconversation.com/kumanjayi-walker-inquest-racism-and-violence-but-findings-too-little-and-too-late-257636" TargetMode="External"/><Relationship Id="rId34" Type="http://schemas.openxmlformats.org/officeDocument/2006/relationships/hyperlink" Target="https://www.rainbowknowledge.org/phase-2-results" TargetMode="External"/><Relationship Id="rId50" Type="http://schemas.openxmlformats.org/officeDocument/2006/relationships/hyperlink" Target="https://doi.org/10.4324/9780429288128" TargetMode="External"/><Relationship Id="rId55" Type="http://schemas.openxmlformats.org/officeDocument/2006/relationships/hyperlink" Target="https://doi.org/10.4324/9780429288128" TargetMode="External"/><Relationship Id="rId76" Type="http://schemas.openxmlformats.org/officeDocument/2006/relationships/hyperlink" Target="https://www.royalcommission.gov.au/child-detention/final-report" TargetMode="External"/><Relationship Id="rId7" Type="http://schemas.openxmlformats.org/officeDocument/2006/relationships/hyperlink" Target="https://www.austlii.edu.au/au/other/IndigLRes/rciadic/national/vol4/76.html" TargetMode="External"/><Relationship Id="rId71" Type="http://schemas.openxmlformats.org/officeDocument/2006/relationships/hyperlink" Target="https://pulsetasmania.com.au/news/greens-slam-new-adult-crime-adult-time-law-concept-as-extreme/" TargetMode="External"/><Relationship Id="rId2" Type="http://schemas.openxmlformats.org/officeDocument/2006/relationships/hyperlink" Target="https://humanrights.gov.au/resource-hub/by-resource-type/bringing-them-home-reports/bringing-them-home-chapter-24" TargetMode="External"/><Relationship Id="rId29" Type="http://schemas.openxmlformats.org/officeDocument/2006/relationships/hyperlink" Target="https://www.alrc.gov.au/news/report-pathways-to-justice-incarceration-rate-of-aboriginal-and-torres-strait-islander-peoples/" TargetMode="External"/><Relationship Id="rId24" Type="http://schemas.openxmlformats.org/officeDocument/2006/relationships/hyperlink" Target="https://ssrn.com/abstract=5035436" TargetMode="External"/><Relationship Id="rId40" Type="http://schemas.openxmlformats.org/officeDocument/2006/relationships/hyperlink" Target="https://www.hrlc.org.au/news/accountability-and-justice-must-be-delivered-for-kumanjayi-walkers-family/" TargetMode="External"/><Relationship Id="rId45" Type="http://schemas.openxmlformats.org/officeDocument/2006/relationships/hyperlink" Target="https://www.austlii.edu.au/au/other/IndigLRes/rciadic/national/vol4/76.html" TargetMode="External"/><Relationship Id="rId66" Type="http://schemas.openxmlformats.org/officeDocument/2006/relationships/hyperlink" Target="https://nit.com.au/25-03-2025/17001/pm-supports-vic-bail-changes-despite-likelihood-of-higher-indigenous-incarceration" TargetMode="External"/><Relationship Id="rId87" Type="http://schemas.openxmlformats.org/officeDocument/2006/relationships/hyperlink" Target="https://www.infrastructure.gov.au/sites/default/files/documents/report-of-the-statutory-review-of-the-online-safety-act-2021-february-2025.pdf" TargetMode="External"/><Relationship Id="rId61" Type="http://schemas.openxmlformats.org/officeDocument/2006/relationships/hyperlink" Target="https://www.parliament.qld.gov.au/Work-of-the-Assembly/Tabled-Papers/docs/5619t1416/5619t1416.pdf" TargetMode="External"/><Relationship Id="rId82" Type="http://schemas.openxmlformats.org/officeDocument/2006/relationships/hyperlink" Target="https://theconversation.com/despite-432-indigenous-deaths-in-custody-since-1991-no-one-has-ever-been-convicted-racist-silence-and-complicity-are-to-blame-139873"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116765"/>
      </a:dk2>
      <a:lt2>
        <a:srgbClr val="CEE3AD"/>
      </a:lt2>
      <a:accent1>
        <a:srgbClr val="592B5E"/>
      </a:accent1>
      <a:accent2>
        <a:srgbClr val="FAB545"/>
      </a:accent2>
      <a:accent3>
        <a:srgbClr val="E561BF"/>
      </a:accent3>
      <a:accent4>
        <a:srgbClr val="F55E00"/>
      </a:accent4>
      <a:accent5>
        <a:srgbClr val="D62E4A"/>
      </a:accent5>
      <a:accent6>
        <a:srgbClr val="EAA7BD"/>
      </a:accent6>
      <a:hlink>
        <a:srgbClr val="345964"/>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97AB2-A4F8-43C8-8FAE-DCB71BA8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5125</Words>
  <Characters>30231</Characters>
  <Application>Microsoft Office Word</Application>
  <DocSecurity>0</DocSecurity>
  <Lines>377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35296</CharactersWithSpaces>
  <SharedDoc>false</SharedDoc>
  <HLinks>
    <vt:vector size="522" baseType="variant">
      <vt:variant>
        <vt:i4>6815850</vt:i4>
      </vt:variant>
      <vt:variant>
        <vt:i4>261</vt:i4>
      </vt:variant>
      <vt:variant>
        <vt:i4>0</vt:i4>
      </vt:variant>
      <vt:variant>
        <vt:i4>5</vt:i4>
      </vt:variant>
      <vt:variant>
        <vt:lpwstr>https://www.infrastructure.gov.au/sites/default/files/documents/report-of-the-statutory-review-of-the-online-safety-act-2021-february-2025.pdf</vt:lpwstr>
      </vt:variant>
      <vt:variant>
        <vt:lpwstr/>
      </vt:variant>
      <vt:variant>
        <vt:i4>2490495</vt:i4>
      </vt:variant>
      <vt:variant>
        <vt:i4>258</vt:i4>
      </vt:variant>
      <vt:variant>
        <vt:i4>0</vt:i4>
      </vt:variant>
      <vt:variant>
        <vt:i4>5</vt:i4>
      </vt:variant>
      <vt:variant>
        <vt:lpwstr>https://docs.un.org/en/CCPR/C/GC/36</vt:lpwstr>
      </vt:variant>
      <vt:variant>
        <vt:lpwstr/>
      </vt:variant>
      <vt:variant>
        <vt:i4>4194311</vt:i4>
      </vt:variant>
      <vt:variant>
        <vt:i4>255</vt:i4>
      </vt:variant>
      <vt:variant>
        <vt:i4>0</vt:i4>
      </vt:variant>
      <vt:variant>
        <vt:i4>5</vt:i4>
      </vt:variant>
      <vt:variant>
        <vt:lpwstr>https://www.ohchr.org/en/documents/general-comments-and-recommendations/general-comment-no-24-2019-childrens-rights-child</vt:lpwstr>
      </vt:variant>
      <vt:variant>
        <vt:lpwstr/>
      </vt:variant>
      <vt:variant>
        <vt:i4>4194311</vt:i4>
      </vt:variant>
      <vt:variant>
        <vt:i4>252</vt:i4>
      </vt:variant>
      <vt:variant>
        <vt:i4>0</vt:i4>
      </vt:variant>
      <vt:variant>
        <vt:i4>5</vt:i4>
      </vt:variant>
      <vt:variant>
        <vt:lpwstr>https://www.ohchr.org/en/documents/general-comments-and-recommendations/general-comment-no-24-2019-childrens-rights-child</vt:lpwstr>
      </vt:variant>
      <vt:variant>
        <vt:lpwstr/>
      </vt:variant>
      <vt:variant>
        <vt:i4>7012459</vt:i4>
      </vt:variant>
      <vt:variant>
        <vt:i4>249</vt:i4>
      </vt:variant>
      <vt:variant>
        <vt:i4>0</vt:i4>
      </vt:variant>
      <vt:variant>
        <vt:i4>5</vt:i4>
      </vt:variant>
      <vt:variant>
        <vt:lpwstr>https://digitallibrary.un.org/record/3843103?v=pdf</vt:lpwstr>
      </vt:variant>
      <vt:variant>
        <vt:lpwstr/>
      </vt:variant>
      <vt:variant>
        <vt:i4>196702</vt:i4>
      </vt:variant>
      <vt:variant>
        <vt:i4>246</vt:i4>
      </vt:variant>
      <vt:variant>
        <vt:i4>0</vt:i4>
      </vt:variant>
      <vt:variant>
        <vt:i4>5</vt:i4>
      </vt:variant>
      <vt:variant>
        <vt:lpwstr>https://theconversation.com/despite-432-indigenous-deaths-in-custody-since-1991-no-one-has-ever-been-convicted-racist-silence-and-complicity-are-to-blame-139873</vt:lpwstr>
      </vt:variant>
      <vt:variant>
        <vt:lpwstr/>
      </vt:variant>
      <vt:variant>
        <vt:i4>6357025</vt:i4>
      </vt:variant>
      <vt:variant>
        <vt:i4>243</vt:i4>
      </vt:variant>
      <vt:variant>
        <vt:i4>0</vt:i4>
      </vt:variant>
      <vt:variant>
        <vt:i4>5</vt:i4>
      </vt:variant>
      <vt:variant>
        <vt:lpwstr>https://www.sbs.com.au/nitv/article/life-sentence-court-hands-cassius-killers-their-penalties/xc2qmi0cw</vt:lpwstr>
      </vt:variant>
      <vt:variant>
        <vt:lpwstr/>
      </vt:variant>
      <vt:variant>
        <vt:i4>393301</vt:i4>
      </vt:variant>
      <vt:variant>
        <vt:i4>240</vt:i4>
      </vt:variant>
      <vt:variant>
        <vt:i4>0</vt:i4>
      </vt:variant>
      <vt:variant>
        <vt:i4>5</vt:i4>
      </vt:variant>
      <vt:variant>
        <vt:lpwstr>https://www.sbs.com.au/nitv/article/man-who-cable-tied-broome-children-found-guilty-of-two-counts-of-aggravated-assault/59tcqzpac</vt:lpwstr>
      </vt:variant>
      <vt:variant>
        <vt:lpwstr/>
      </vt:variant>
      <vt:variant>
        <vt:i4>4980810</vt:i4>
      </vt:variant>
      <vt:variant>
        <vt:i4>237</vt:i4>
      </vt:variant>
      <vt:variant>
        <vt:i4>0</vt:i4>
      </vt:variant>
      <vt:variant>
        <vt:i4>5</vt:i4>
      </vt:variant>
      <vt:variant>
        <vt:lpwstr>https://www.abc.net.au/news/2022-05-07/nt-government-legislation-prison-mistreatment-compensation-limit/101044834</vt:lpwstr>
      </vt:variant>
      <vt:variant>
        <vt:lpwstr/>
      </vt:variant>
      <vt:variant>
        <vt:i4>720915</vt:i4>
      </vt:variant>
      <vt:variant>
        <vt:i4>234</vt:i4>
      </vt:variant>
      <vt:variant>
        <vt:i4>0</vt:i4>
      </vt:variant>
      <vt:variant>
        <vt:i4>5</vt:i4>
      </vt:variant>
      <vt:variant>
        <vt:lpwstr>https://agd.nt.gov.au/law-reform-reviews/civil-law-reform/personal-liabilities-liabilities-damage-act-amendments</vt:lpwstr>
      </vt:variant>
      <vt:variant>
        <vt:lpwstr/>
      </vt:variant>
      <vt:variant>
        <vt:i4>5439503</vt:i4>
      </vt:variant>
      <vt:variant>
        <vt:i4>231</vt:i4>
      </vt:variant>
      <vt:variant>
        <vt:i4>0</vt:i4>
      </vt:variant>
      <vt:variant>
        <vt:i4>5</vt:i4>
      </vt:variant>
      <vt:variant>
        <vt:lpwstr>https://www.sbs.com.au/nitv/nitv-news/article/nt-laws-capping-abuse-compensation-labelled-shameful/7wjamjhla</vt:lpwstr>
      </vt:variant>
      <vt:variant>
        <vt:lpwstr/>
      </vt:variant>
      <vt:variant>
        <vt:i4>2359356</vt:i4>
      </vt:variant>
      <vt:variant>
        <vt:i4>228</vt:i4>
      </vt:variant>
      <vt:variant>
        <vt:i4>0</vt:i4>
      </vt:variant>
      <vt:variant>
        <vt:i4>5</vt:i4>
      </vt:variant>
      <vt:variant>
        <vt:lpwstr>https://www.royalcommission.gov.au/child-detention/final-report</vt:lpwstr>
      </vt:variant>
      <vt:variant>
        <vt:lpwstr/>
      </vt:variant>
      <vt:variant>
        <vt:i4>2359356</vt:i4>
      </vt:variant>
      <vt:variant>
        <vt:i4>225</vt:i4>
      </vt:variant>
      <vt:variant>
        <vt:i4>0</vt:i4>
      </vt:variant>
      <vt:variant>
        <vt:i4>5</vt:i4>
      </vt:variant>
      <vt:variant>
        <vt:lpwstr>https://www.royalcommission.gov.au/child-detention/final-report</vt:lpwstr>
      </vt:variant>
      <vt:variant>
        <vt:lpwstr/>
      </vt:variant>
      <vt:variant>
        <vt:i4>5373958</vt:i4>
      </vt:variant>
      <vt:variant>
        <vt:i4>222</vt:i4>
      </vt:variant>
      <vt:variant>
        <vt:i4>0</vt:i4>
      </vt:variant>
      <vt:variant>
        <vt:i4>5</vt:i4>
      </vt:variant>
      <vt:variant>
        <vt:lpwstr>https://www.abc.net.au/news/2025-05-22/new-adult-crime-adult-time-laws-pass-qld-parliament/105319192</vt:lpwstr>
      </vt:variant>
      <vt:variant>
        <vt:lpwstr/>
      </vt:variant>
      <vt:variant>
        <vt:i4>2818147</vt:i4>
      </vt:variant>
      <vt:variant>
        <vt:i4>219</vt:i4>
      </vt:variant>
      <vt:variant>
        <vt:i4>0</vt:i4>
      </vt:variant>
      <vt:variant>
        <vt:i4>5</vt:i4>
      </vt:variant>
      <vt:variant>
        <vt:lpwstr>https://webarchive.nla.gov.au/awa/20181010010126/https://childdetentionnt.royalcommission.gov.au/NT-public-hearings/Pages/Transcripts.aspx</vt:lpwstr>
      </vt:variant>
      <vt:variant>
        <vt:lpwstr/>
      </vt:variant>
      <vt:variant>
        <vt:i4>196686</vt:i4>
      </vt:variant>
      <vt:variant>
        <vt:i4>216</vt:i4>
      </vt:variant>
      <vt:variant>
        <vt:i4>0</vt:i4>
      </vt:variant>
      <vt:variant>
        <vt:i4>5</vt:i4>
      </vt:variant>
      <vt:variant>
        <vt:lpwstr>https://www.news.com.au/national/politics/nt-chief-minister-adam-giles-wanted-to-put-criminals-in-a-big-concrete-hole/news-story/2635dc9b750d6354c5d1182391ee47dd</vt:lpwstr>
      </vt:variant>
      <vt:variant>
        <vt:lpwstr/>
      </vt:variant>
      <vt:variant>
        <vt:i4>1703953</vt:i4>
      </vt:variant>
      <vt:variant>
        <vt:i4>213</vt:i4>
      </vt:variant>
      <vt:variant>
        <vt:i4>0</vt:i4>
      </vt:variant>
      <vt:variant>
        <vt:i4>5</vt:i4>
      </vt:variant>
      <vt:variant>
        <vt:lpwstr>https://pulsetasmania.com.au/news/greens-slam-new-adult-crime-adult-time-law-concept-as-extreme/</vt:lpwstr>
      </vt:variant>
      <vt:variant>
        <vt:lpwstr/>
      </vt:variant>
      <vt:variant>
        <vt:i4>6881340</vt:i4>
      </vt:variant>
      <vt:variant>
        <vt:i4>210</vt:i4>
      </vt:variant>
      <vt:variant>
        <vt:i4>0</vt:i4>
      </vt:variant>
      <vt:variant>
        <vt:i4>5</vt:i4>
      </vt:variant>
      <vt:variant>
        <vt:lpwstr>https://nit.com.au/02-12-2025/21594/abhorrent-adult-time-sentencing-laws-to-pass-this-week-despite-widespread-concerns</vt:lpwstr>
      </vt:variant>
      <vt:variant>
        <vt:lpwstr>:~:text=In%20a%20remarkable%20admission%2C%20Attorney-General%20Sonya%20Kilkenny%20admitted,out%22%20in%20the%20state%27s%20Charter%20of%20Human%20Rights</vt:lpwstr>
      </vt:variant>
      <vt:variant>
        <vt:i4>6619198</vt:i4>
      </vt:variant>
      <vt:variant>
        <vt:i4>207</vt:i4>
      </vt:variant>
      <vt:variant>
        <vt:i4>0</vt:i4>
      </vt:variant>
      <vt:variant>
        <vt:i4>5</vt:i4>
      </vt:variant>
      <vt:variant>
        <vt:lpwstr>https://www.abc.net.au/news/2025-05-20/qld-un-criticises-adult-crime-adult-time-youth-justice-law/105312740</vt:lpwstr>
      </vt:variant>
      <vt:variant>
        <vt:lpwstr/>
      </vt:variant>
      <vt:variant>
        <vt:i4>5636169</vt:i4>
      </vt:variant>
      <vt:variant>
        <vt:i4>204</vt:i4>
      </vt:variant>
      <vt:variant>
        <vt:i4>0</vt:i4>
      </vt:variant>
      <vt:variant>
        <vt:i4>5</vt:i4>
      </vt:variant>
      <vt:variant>
        <vt:lpwstr>https://www.legislation.qld.gov.au/view/pdf/bill.first.hrc/bill-2024-043</vt:lpwstr>
      </vt:variant>
      <vt:variant>
        <vt:lpwstr/>
      </vt:variant>
      <vt:variant>
        <vt:i4>5832754</vt:i4>
      </vt:variant>
      <vt:variant>
        <vt:i4>201</vt:i4>
      </vt:variant>
      <vt:variant>
        <vt:i4>0</vt:i4>
      </vt:variant>
      <vt:variant>
        <vt:i4>5</vt:i4>
      </vt:variant>
      <vt:variant>
        <vt:lpwstr>https://www.aic.gov.au/sites/default/files/2026-02/ijc_bail_and_remand_across_australia.pdf</vt:lpwstr>
      </vt:variant>
      <vt:variant>
        <vt:lpwstr/>
      </vt:variant>
      <vt:variant>
        <vt:i4>3145833</vt:i4>
      </vt:variant>
      <vt:variant>
        <vt:i4>198</vt:i4>
      </vt:variant>
      <vt:variant>
        <vt:i4>0</vt:i4>
      </vt:variant>
      <vt:variant>
        <vt:i4>5</vt:i4>
      </vt:variant>
      <vt:variant>
        <vt:lpwstr>https://nit.com.au/25-03-2025/17001/pm-supports-vic-bail-changes-despite-likelihood-of-higher-indigenous-incarceration</vt:lpwstr>
      </vt:variant>
      <vt:variant>
        <vt:lpwstr/>
      </vt:variant>
      <vt:variant>
        <vt:i4>1179665</vt:i4>
      </vt:variant>
      <vt:variant>
        <vt:i4>195</vt:i4>
      </vt:variant>
      <vt:variant>
        <vt:i4>0</vt:i4>
      </vt:variant>
      <vt:variant>
        <vt:i4>5</vt:i4>
      </vt:variant>
      <vt:variant>
        <vt:lpwstr>https://www.abc.net.au/news/2023-06-21/action-for-alice-springs-crime-facebook-page-hiatus/102498970</vt:lpwstr>
      </vt:variant>
      <vt:variant>
        <vt:lpwstr/>
      </vt:variant>
      <vt:variant>
        <vt:i4>8060977</vt:i4>
      </vt:variant>
      <vt:variant>
        <vt:i4>192</vt:i4>
      </vt:variant>
      <vt:variant>
        <vt:i4>0</vt:i4>
      </vt:variant>
      <vt:variant>
        <vt:i4>5</vt:i4>
      </vt:variant>
      <vt:variant>
        <vt:lpwstr>https://www.crikey.com.au/2023/02/10/action-for-alice-2020-facebook-page-concerns/</vt:lpwstr>
      </vt:variant>
      <vt:variant>
        <vt:lpwstr/>
      </vt:variant>
      <vt:variant>
        <vt:i4>655368</vt:i4>
      </vt:variant>
      <vt:variant>
        <vt:i4>189</vt:i4>
      </vt:variant>
      <vt:variant>
        <vt:i4>0</vt:i4>
      </vt:variant>
      <vt:variant>
        <vt:i4>5</vt:i4>
      </vt:variant>
      <vt:variant>
        <vt:lpwstr>https://assets.informz.net/lssa/data/images/Website/Submissions/HonFrankPangalloMLCreStatutesAmendmentCriminalJusticeMeasureBill2024.pdf</vt:lpwstr>
      </vt:variant>
      <vt:variant>
        <vt:lpwstr/>
      </vt:variant>
      <vt:variant>
        <vt:i4>7274550</vt:i4>
      </vt:variant>
      <vt:variant>
        <vt:i4>186</vt:i4>
      </vt:variant>
      <vt:variant>
        <vt:i4>0</vt:i4>
      </vt:variant>
      <vt:variant>
        <vt:i4>5</vt:i4>
      </vt:variant>
      <vt:variant>
        <vt:lpwstr>https://statements.qld.gov.au/statements/101145</vt:lpwstr>
      </vt:variant>
      <vt:variant>
        <vt:lpwstr/>
      </vt:variant>
      <vt:variant>
        <vt:i4>1376331</vt:i4>
      </vt:variant>
      <vt:variant>
        <vt:i4>183</vt:i4>
      </vt:variant>
      <vt:variant>
        <vt:i4>0</vt:i4>
      </vt:variant>
      <vt:variant>
        <vt:i4>5</vt:i4>
      </vt:variant>
      <vt:variant>
        <vt:lpwstr>https://www.parliament.qld.gov.au/Work-of-the-Assembly/Tabled-Papers/docs/5619t1416/5619t1416.pdf</vt:lpwstr>
      </vt:variant>
      <vt:variant>
        <vt:lpwstr/>
      </vt:variant>
      <vt:variant>
        <vt:i4>2424848</vt:i4>
      </vt:variant>
      <vt:variant>
        <vt:i4>180</vt:i4>
      </vt:variant>
      <vt:variant>
        <vt:i4>0</vt:i4>
      </vt:variant>
      <vt:variant>
        <vt:i4>5</vt:i4>
      </vt:variant>
      <vt:variant>
        <vt:lpwstr>https://documents.parliament.qld.gov.au/events/han/2014/2014_03_18_WEEKLY.PDF</vt:lpwstr>
      </vt:variant>
      <vt:variant>
        <vt:lpwstr/>
      </vt:variant>
      <vt:variant>
        <vt:i4>1376331</vt:i4>
      </vt:variant>
      <vt:variant>
        <vt:i4>177</vt:i4>
      </vt:variant>
      <vt:variant>
        <vt:i4>0</vt:i4>
      </vt:variant>
      <vt:variant>
        <vt:i4>5</vt:i4>
      </vt:variant>
      <vt:variant>
        <vt:lpwstr>https://www.parliament.qld.gov.au/Work-of-the-Assembly/Tabled-Papers/docs/5414t4463/5414t4463.pdf</vt:lpwstr>
      </vt:variant>
      <vt:variant>
        <vt:lpwstr/>
      </vt:variant>
      <vt:variant>
        <vt:i4>2424848</vt:i4>
      </vt:variant>
      <vt:variant>
        <vt:i4>174</vt:i4>
      </vt:variant>
      <vt:variant>
        <vt:i4>0</vt:i4>
      </vt:variant>
      <vt:variant>
        <vt:i4>5</vt:i4>
      </vt:variant>
      <vt:variant>
        <vt:lpwstr>https://documents.parliament.qld.gov.au/events/han/2014/2014_03_18_WEEKLY.PDF</vt:lpwstr>
      </vt:variant>
      <vt:variant>
        <vt:lpwstr/>
      </vt:variant>
      <vt:variant>
        <vt:i4>4390928</vt:i4>
      </vt:variant>
      <vt:variant>
        <vt:i4>171</vt:i4>
      </vt:variant>
      <vt:variant>
        <vt:i4>0</vt:i4>
      </vt:variant>
      <vt:variant>
        <vt:i4>5</vt:i4>
      </vt:variant>
      <vt:variant>
        <vt:lpwstr>https://documents.parliament.qld.gov.au/com/LACSC-4B8C/IQ-C393/trns-ph-12Aug2014.pdf</vt:lpwstr>
      </vt:variant>
      <vt:variant>
        <vt:lpwstr/>
      </vt:variant>
      <vt:variant>
        <vt:i4>4390928</vt:i4>
      </vt:variant>
      <vt:variant>
        <vt:i4>168</vt:i4>
      </vt:variant>
      <vt:variant>
        <vt:i4>0</vt:i4>
      </vt:variant>
      <vt:variant>
        <vt:i4>5</vt:i4>
      </vt:variant>
      <vt:variant>
        <vt:lpwstr>https://documents.parliament.qld.gov.au/com/LACSC-4B8C/IQ-C393/trns-ph-12Aug2014.pdf</vt:lpwstr>
      </vt:variant>
      <vt:variant>
        <vt:lpwstr/>
      </vt:variant>
      <vt:variant>
        <vt:i4>1638488</vt:i4>
      </vt:variant>
      <vt:variant>
        <vt:i4>165</vt:i4>
      </vt:variant>
      <vt:variant>
        <vt:i4>0</vt:i4>
      </vt:variant>
      <vt:variant>
        <vt:i4>5</vt:i4>
      </vt:variant>
      <vt:variant>
        <vt:lpwstr>https://doi.org/10.4324/9780429288128</vt:lpwstr>
      </vt:variant>
      <vt:variant>
        <vt:lpwstr/>
      </vt:variant>
      <vt:variant>
        <vt:i4>1638488</vt:i4>
      </vt:variant>
      <vt:variant>
        <vt:i4>162</vt:i4>
      </vt:variant>
      <vt:variant>
        <vt:i4>0</vt:i4>
      </vt:variant>
      <vt:variant>
        <vt:i4>5</vt:i4>
      </vt:variant>
      <vt:variant>
        <vt:lpwstr>https://doi.org/10.4324/9780429288128</vt:lpwstr>
      </vt:variant>
      <vt:variant>
        <vt:lpwstr/>
      </vt:variant>
      <vt:variant>
        <vt:i4>4128840</vt:i4>
      </vt:variant>
      <vt:variant>
        <vt:i4>159</vt:i4>
      </vt:variant>
      <vt:variant>
        <vt:i4>0</vt:i4>
      </vt:variant>
      <vt:variant>
        <vt:i4>5</vt:i4>
      </vt:variant>
      <vt:variant>
        <vt:lpwstr>https://papers.ssrn.com/sol3/papers.cfm?abstract_id=3149103</vt:lpwstr>
      </vt:variant>
      <vt:variant>
        <vt:lpwstr/>
      </vt:variant>
      <vt:variant>
        <vt:i4>2228351</vt:i4>
      </vt:variant>
      <vt:variant>
        <vt:i4>156</vt:i4>
      </vt:variant>
      <vt:variant>
        <vt:i4>0</vt:i4>
      </vt:variant>
      <vt:variant>
        <vt:i4>5</vt:i4>
      </vt:variant>
      <vt:variant>
        <vt:lpwstr>https://doi.org/10.1093/acrefore/9780190264079.013.109</vt:lpwstr>
      </vt:variant>
      <vt:variant>
        <vt:lpwstr/>
      </vt:variant>
      <vt:variant>
        <vt:i4>3539059</vt:i4>
      </vt:variant>
      <vt:variant>
        <vt:i4>153</vt:i4>
      </vt:variant>
      <vt:variant>
        <vt:i4>0</vt:i4>
      </vt:variant>
      <vt:variant>
        <vt:i4>5</vt:i4>
      </vt:variant>
      <vt:variant>
        <vt:lpwstr>https://doi.org/10.1002/jcop.23135</vt:lpwstr>
      </vt:variant>
      <vt:variant>
        <vt:lpwstr/>
      </vt:variant>
      <vt:variant>
        <vt:i4>1638488</vt:i4>
      </vt:variant>
      <vt:variant>
        <vt:i4>150</vt:i4>
      </vt:variant>
      <vt:variant>
        <vt:i4>0</vt:i4>
      </vt:variant>
      <vt:variant>
        <vt:i4>5</vt:i4>
      </vt:variant>
      <vt:variant>
        <vt:lpwstr>https://doi.org/10.4324/9780429288128</vt:lpwstr>
      </vt:variant>
      <vt:variant>
        <vt:lpwstr/>
      </vt:variant>
      <vt:variant>
        <vt:i4>6815850</vt:i4>
      </vt:variant>
      <vt:variant>
        <vt:i4>147</vt:i4>
      </vt:variant>
      <vt:variant>
        <vt:i4>0</vt:i4>
      </vt:variant>
      <vt:variant>
        <vt:i4>5</vt:i4>
      </vt:variant>
      <vt:variant>
        <vt:lpwstr>https://www.infrastructure.gov.au/sites/default/files/documents/report-of-the-statutory-review-of-the-online-safety-act-2021-february-2025.pdf</vt:lpwstr>
      </vt:variant>
      <vt:variant>
        <vt:lpwstr/>
      </vt:variant>
      <vt:variant>
        <vt:i4>1638524</vt:i4>
      </vt:variant>
      <vt:variant>
        <vt:i4>144</vt:i4>
      </vt:variant>
      <vt:variant>
        <vt:i4>0</vt:i4>
      </vt:variant>
      <vt:variant>
        <vt:i4>5</vt:i4>
      </vt:variant>
      <vt:variant>
        <vt:lpwstr>https://www.esafety.gov.au/sites/default/files/2023-03/Cool_beautiful_strange_and_scary_report.pdf</vt:lpwstr>
      </vt:variant>
      <vt:variant>
        <vt:lpwstr/>
      </vt:variant>
      <vt:variant>
        <vt:i4>1900623</vt:i4>
      </vt:variant>
      <vt:variant>
        <vt:i4>141</vt:i4>
      </vt:variant>
      <vt:variant>
        <vt:i4>0</vt:i4>
      </vt:variant>
      <vt:variant>
        <vt:i4>5</vt:i4>
      </vt:variant>
      <vt:variant>
        <vt:lpwstr>https://www.coronerscourt.wa.gov.au/_files/inquest_2025/DODD_Cleveland_Keith.pdf</vt:lpwstr>
      </vt:variant>
      <vt:variant>
        <vt:lpwstr/>
      </vt:variant>
      <vt:variant>
        <vt:i4>3407974</vt:i4>
      </vt:variant>
      <vt:variant>
        <vt:i4>138</vt:i4>
      </vt:variant>
      <vt:variant>
        <vt:i4>0</vt:i4>
      </vt:variant>
      <vt:variant>
        <vt:i4>5</vt:i4>
      </vt:variant>
      <vt:variant>
        <vt:lpwstr>https://agd.nt.gov.au/media/docs/inquest-finding-pubications/2001/johnno-wurramarba.pdf</vt:lpwstr>
      </vt:variant>
      <vt:variant>
        <vt:lpwstr/>
      </vt:variant>
      <vt:variant>
        <vt:i4>2621555</vt:i4>
      </vt:variant>
      <vt:variant>
        <vt:i4>135</vt:i4>
      </vt:variant>
      <vt:variant>
        <vt:i4>0</vt:i4>
      </vt:variant>
      <vt:variant>
        <vt:i4>5</vt:i4>
      </vt:variant>
      <vt:variant>
        <vt:lpwstr>https://www.austlii.edu.au/au/other/IndigLRes/rciadic/national/vol4/76.html</vt:lpwstr>
      </vt:variant>
      <vt:variant>
        <vt:lpwstr/>
      </vt:variant>
      <vt:variant>
        <vt:i4>2490495</vt:i4>
      </vt:variant>
      <vt:variant>
        <vt:i4>132</vt:i4>
      </vt:variant>
      <vt:variant>
        <vt:i4>0</vt:i4>
      </vt:variant>
      <vt:variant>
        <vt:i4>5</vt:i4>
      </vt:variant>
      <vt:variant>
        <vt:lpwstr>https://docs.un.org/en/CCPR/C/GC/36</vt:lpwstr>
      </vt:variant>
      <vt:variant>
        <vt:lpwstr/>
      </vt:variant>
      <vt:variant>
        <vt:i4>6094858</vt:i4>
      </vt:variant>
      <vt:variant>
        <vt:i4>129</vt:i4>
      </vt:variant>
      <vt:variant>
        <vt:i4>0</vt:i4>
      </vt:variant>
      <vt:variant>
        <vt:i4>5</vt:i4>
      </vt:variant>
      <vt:variant>
        <vt:lpwstr>https://www.abc.net.au/news/2026-04-02/nt-police-update-kumanjayi-white-death-in-custody-investigation/106525980</vt:lpwstr>
      </vt:variant>
      <vt:variant>
        <vt:lpwstr/>
      </vt:variant>
      <vt:variant>
        <vt:i4>7471167</vt:i4>
      </vt:variant>
      <vt:variant>
        <vt:i4>126</vt:i4>
      </vt:variant>
      <vt:variant>
        <vt:i4>0</vt:i4>
      </vt:variant>
      <vt:variant>
        <vt:i4>5</vt:i4>
      </vt:variant>
      <vt:variant>
        <vt:lpwstr>https://www.hrlc.org.au/news/accountability-and-justice-must-be-delivered-for-kumanjayi-walkers-family/</vt:lpwstr>
      </vt:variant>
      <vt:variant>
        <vt:lpwstr/>
      </vt:variant>
      <vt:variant>
        <vt:i4>6094858</vt:i4>
      </vt:variant>
      <vt:variant>
        <vt:i4>123</vt:i4>
      </vt:variant>
      <vt:variant>
        <vt:i4>0</vt:i4>
      </vt:variant>
      <vt:variant>
        <vt:i4>5</vt:i4>
      </vt:variant>
      <vt:variant>
        <vt:lpwstr>https://www.abc.net.au/news/2026-04-02/nt-police-update-kumanjayi-white-death-in-custody-investigation/106525980</vt:lpwstr>
      </vt:variant>
      <vt:variant>
        <vt:lpwstr/>
      </vt:variant>
      <vt:variant>
        <vt:i4>7471167</vt:i4>
      </vt:variant>
      <vt:variant>
        <vt:i4>120</vt:i4>
      </vt:variant>
      <vt:variant>
        <vt:i4>0</vt:i4>
      </vt:variant>
      <vt:variant>
        <vt:i4>5</vt:i4>
      </vt:variant>
      <vt:variant>
        <vt:lpwstr>https://www.hrlc.org.au/news/accountability-and-justice-must-be-delivered-for-kumanjayi-walkers-family/</vt:lpwstr>
      </vt:variant>
      <vt:variant>
        <vt:lpwstr/>
      </vt:variant>
      <vt:variant>
        <vt:i4>5701711</vt:i4>
      </vt:variant>
      <vt:variant>
        <vt:i4>117</vt:i4>
      </vt:variant>
      <vt:variant>
        <vt:i4>0</vt:i4>
      </vt:variant>
      <vt:variant>
        <vt:i4>5</vt:i4>
      </vt:variant>
      <vt:variant>
        <vt:lpwstr>https://theconversation.com/kumanjayi-walker-inquest-racism-and-violence-but-findings-too-little-and-too-late-257636</vt:lpwstr>
      </vt:variant>
      <vt:variant>
        <vt:lpwstr/>
      </vt:variant>
      <vt:variant>
        <vt:i4>2359356</vt:i4>
      </vt:variant>
      <vt:variant>
        <vt:i4>114</vt:i4>
      </vt:variant>
      <vt:variant>
        <vt:i4>0</vt:i4>
      </vt:variant>
      <vt:variant>
        <vt:i4>5</vt:i4>
      </vt:variant>
      <vt:variant>
        <vt:lpwstr>https://www.royalcommission.gov.au/child-detention/final-report</vt:lpwstr>
      </vt:variant>
      <vt:variant>
        <vt:lpwstr/>
      </vt:variant>
      <vt:variant>
        <vt:i4>4784196</vt:i4>
      </vt:variant>
      <vt:variant>
        <vt:i4>111</vt:i4>
      </vt:variant>
      <vt:variant>
        <vt:i4>0</vt:i4>
      </vt:variant>
      <vt:variant>
        <vt:i4>5</vt:i4>
      </vt:variant>
      <vt:variant>
        <vt:lpwstr>https://cdn.craft.cloud/06ad3276-b3d9-4912-bcbb-37795aade9a8/assets/documents/Yoorrook-for-justice-report.pdf</vt:lpwstr>
      </vt:variant>
      <vt:variant>
        <vt:lpwstr/>
      </vt:variant>
      <vt:variant>
        <vt:i4>2359330</vt:i4>
      </vt:variant>
      <vt:variant>
        <vt:i4>108</vt:i4>
      </vt:variant>
      <vt:variant>
        <vt:i4>0</vt:i4>
      </vt:variant>
      <vt:variant>
        <vt:i4>5</vt:i4>
      </vt:variant>
      <vt:variant>
        <vt:lpwstr>https://www.childabuseroyalcommission.gov.au/contemporary-out-home-care</vt:lpwstr>
      </vt:variant>
      <vt:variant>
        <vt:lpwstr/>
      </vt:variant>
      <vt:variant>
        <vt:i4>1114201</vt:i4>
      </vt:variant>
      <vt:variant>
        <vt:i4>105</vt:i4>
      </vt:variant>
      <vt:variant>
        <vt:i4>0</vt:i4>
      </vt:variant>
      <vt:variant>
        <vt:i4>5</vt:i4>
      </vt:variant>
      <vt:variant>
        <vt:lpwstr>https://www.rainbowknowledge.org/phase-2-results</vt:lpwstr>
      </vt:variant>
      <vt:variant>
        <vt:lpwstr/>
      </vt:variant>
      <vt:variant>
        <vt:i4>1114201</vt:i4>
      </vt:variant>
      <vt:variant>
        <vt:i4>102</vt:i4>
      </vt:variant>
      <vt:variant>
        <vt:i4>0</vt:i4>
      </vt:variant>
      <vt:variant>
        <vt:i4>5</vt:i4>
      </vt:variant>
      <vt:variant>
        <vt:lpwstr>https://www.rainbowknowledge.org/phase-2-results</vt:lpwstr>
      </vt:variant>
      <vt:variant>
        <vt:lpwstr/>
      </vt:variant>
      <vt:variant>
        <vt:i4>7929876</vt:i4>
      </vt:variant>
      <vt:variant>
        <vt:i4>99</vt:i4>
      </vt:variant>
      <vt:variant>
        <vt:i4>0</vt:i4>
      </vt:variant>
      <vt:variant>
        <vt:i4>5</vt:i4>
      </vt:variant>
      <vt:variant>
        <vt:lpwstr>https://humanrights.gov.au/__data/assets/pdf_file/0025/25477/1807_help_way_earlier_-_accessible_0-1-2.pdf</vt:lpwstr>
      </vt:variant>
      <vt:variant>
        <vt:lpwstr/>
      </vt:variant>
      <vt:variant>
        <vt:i4>3538996</vt:i4>
      </vt:variant>
      <vt:variant>
        <vt:i4>96</vt:i4>
      </vt:variant>
      <vt:variant>
        <vt:i4>0</vt:i4>
      </vt:variant>
      <vt:variant>
        <vt:i4>5</vt:i4>
      </vt:variant>
      <vt:variant>
        <vt:lpwstr>https://disability.royalcommission.gov.au/publications/final-report-complete-volume-formats</vt:lpwstr>
      </vt:variant>
      <vt:variant>
        <vt:lpwstr/>
      </vt:variant>
      <vt:variant>
        <vt:i4>1507396</vt:i4>
      </vt:variant>
      <vt:variant>
        <vt:i4>93</vt:i4>
      </vt:variant>
      <vt:variant>
        <vt:i4>0</vt:i4>
      </vt:variant>
      <vt:variant>
        <vt:i4>5</vt:i4>
      </vt:variant>
      <vt:variant>
        <vt:lpwstr>https://humanrights.gov.au/resource-hub/human-rights/wiyi-yani-u-thangani</vt:lpwstr>
      </vt:variant>
      <vt:variant>
        <vt:lpwstr/>
      </vt:variant>
      <vt:variant>
        <vt:i4>1507396</vt:i4>
      </vt:variant>
      <vt:variant>
        <vt:i4>90</vt:i4>
      </vt:variant>
      <vt:variant>
        <vt:i4>0</vt:i4>
      </vt:variant>
      <vt:variant>
        <vt:i4>5</vt:i4>
      </vt:variant>
      <vt:variant>
        <vt:lpwstr>https://humanrights.gov.au/resource-hub/human-rights/wiyi-yani-u-thangani</vt:lpwstr>
      </vt:variant>
      <vt:variant>
        <vt:lpwstr/>
      </vt:variant>
      <vt:variant>
        <vt:i4>1245252</vt:i4>
      </vt:variant>
      <vt:variant>
        <vt:i4>87</vt:i4>
      </vt:variant>
      <vt:variant>
        <vt:i4>0</vt:i4>
      </vt:variant>
      <vt:variant>
        <vt:i4>5</vt:i4>
      </vt:variant>
      <vt:variant>
        <vt:lpwstr>https://www.alrc.gov.au/news/report-pathways-to-justice-incarceration-rate-of-aboriginal-and-torres-strait-islander-peoples/</vt:lpwstr>
      </vt:variant>
      <vt:variant>
        <vt:lpwstr/>
      </vt:variant>
      <vt:variant>
        <vt:i4>3080242</vt:i4>
      </vt:variant>
      <vt:variant>
        <vt:i4>84</vt:i4>
      </vt:variant>
      <vt:variant>
        <vt:i4>0</vt:i4>
      </vt:variant>
      <vt:variant>
        <vt:i4>5</vt:i4>
      </vt:variant>
      <vt:variant>
        <vt:lpwstr>https://www.aihw.gov.au/reports/youth-justice/youth-detention-population-in-australia-2023/contents/first-nations-young-people</vt:lpwstr>
      </vt:variant>
      <vt:variant>
        <vt:lpwstr/>
      </vt:variant>
      <vt:variant>
        <vt:i4>6750253</vt:i4>
      </vt:variant>
      <vt:variant>
        <vt:i4>81</vt:i4>
      </vt:variant>
      <vt:variant>
        <vt:i4>0</vt:i4>
      </vt:variant>
      <vt:variant>
        <vt:i4>5</vt:i4>
      </vt:variant>
      <vt:variant>
        <vt:lpwstr>https://doi.org/10.3390/socsci10020068</vt:lpwstr>
      </vt:variant>
      <vt:variant>
        <vt:lpwstr/>
      </vt:variant>
      <vt:variant>
        <vt:i4>3604596</vt:i4>
      </vt:variant>
      <vt:variant>
        <vt:i4>78</vt:i4>
      </vt:variant>
      <vt:variant>
        <vt:i4>0</vt:i4>
      </vt:variant>
      <vt:variant>
        <vt:i4>5</vt:i4>
      </vt:variant>
      <vt:variant>
        <vt:lpwstr>https://www.theguardian.com/australia-news/2025/may/19/nsw-police-extraordinary-search-powers-a-blank-cheque-to-target-indigenous-youth-lawyers-say-ntwnfb</vt:lpwstr>
      </vt:variant>
      <vt:variant>
        <vt:lpwstr/>
      </vt:variant>
      <vt:variant>
        <vt:i4>6422567</vt:i4>
      </vt:variant>
      <vt:variant>
        <vt:i4>75</vt:i4>
      </vt:variant>
      <vt:variant>
        <vt:i4>0</vt:i4>
      </vt:variant>
      <vt:variant>
        <vt:i4>5</vt:i4>
      </vt:variant>
      <vt:variant>
        <vt:lpwstr>https://dx.doi.org/10.2139/ssrn.5035436</vt:lpwstr>
      </vt:variant>
      <vt:variant>
        <vt:lpwstr/>
      </vt:variant>
      <vt:variant>
        <vt:i4>655390</vt:i4>
      </vt:variant>
      <vt:variant>
        <vt:i4>72</vt:i4>
      </vt:variant>
      <vt:variant>
        <vt:i4>0</vt:i4>
      </vt:variant>
      <vt:variant>
        <vt:i4>5</vt:i4>
      </vt:variant>
      <vt:variant>
        <vt:lpwstr>https://ssrn.com/abstract=5035436</vt:lpwstr>
      </vt:variant>
      <vt:variant>
        <vt:lpwstr/>
      </vt:variant>
      <vt:variant>
        <vt:i4>6750253</vt:i4>
      </vt:variant>
      <vt:variant>
        <vt:i4>69</vt:i4>
      </vt:variant>
      <vt:variant>
        <vt:i4>0</vt:i4>
      </vt:variant>
      <vt:variant>
        <vt:i4>5</vt:i4>
      </vt:variant>
      <vt:variant>
        <vt:lpwstr>https://doi.org/10.3390/socsci10020068</vt:lpwstr>
      </vt:variant>
      <vt:variant>
        <vt:lpwstr/>
      </vt:variant>
      <vt:variant>
        <vt:i4>4325402</vt:i4>
      </vt:variant>
      <vt:variant>
        <vt:i4>66</vt:i4>
      </vt:variant>
      <vt:variant>
        <vt:i4>0</vt:i4>
      </vt:variant>
      <vt:variant>
        <vt:i4>5</vt:i4>
      </vt:variant>
      <vt:variant>
        <vt:lpwstr>https://theconversation.com/aboriginal-children-as-young-as-5-are-getting-suspended-from-school-we-cant-close-the-gap-if-this-is-happening-235889</vt:lpwstr>
      </vt:variant>
      <vt:variant>
        <vt:lpwstr/>
      </vt:variant>
      <vt:variant>
        <vt:i4>917586</vt:i4>
      </vt:variant>
      <vt:variant>
        <vt:i4>63</vt:i4>
      </vt:variant>
      <vt:variant>
        <vt:i4>0</vt:i4>
      </vt:variant>
      <vt:variant>
        <vt:i4>5</vt:i4>
      </vt:variant>
      <vt:variant>
        <vt:lpwstr>https://www.unsw.edu.au/newsroom/news/2025/10/discipline-disadvantage-school-exclusion-nsw-needs-rethinking</vt:lpwstr>
      </vt:variant>
      <vt:variant>
        <vt:lpwstr>:~:text=The%20evidence%20is%20clear%3A%20exclusion,and%20invests%20in%20their%20futures</vt:lpwstr>
      </vt:variant>
      <vt:variant>
        <vt:i4>4325402</vt:i4>
      </vt:variant>
      <vt:variant>
        <vt:i4>60</vt:i4>
      </vt:variant>
      <vt:variant>
        <vt:i4>0</vt:i4>
      </vt:variant>
      <vt:variant>
        <vt:i4>5</vt:i4>
      </vt:variant>
      <vt:variant>
        <vt:lpwstr>https://theconversation.com/aboriginal-children-as-young-as-5-are-getting-suspended-from-school-we-cant-close-the-gap-if-this-is-happening-235889</vt:lpwstr>
      </vt:variant>
      <vt:variant>
        <vt:lpwstr/>
      </vt:variant>
      <vt:variant>
        <vt:i4>4063357</vt:i4>
      </vt:variant>
      <vt:variant>
        <vt:i4>57</vt:i4>
      </vt:variant>
      <vt:variant>
        <vt:i4>0</vt:i4>
      </vt:variant>
      <vt:variant>
        <vt:i4>5</vt:i4>
      </vt:variant>
      <vt:variant>
        <vt:lpwstr>https://www.aihw.gov.au/suicide-self-harm-monitoring/population-groups/first-nations-people</vt:lpwstr>
      </vt:variant>
      <vt:variant>
        <vt:lpwstr/>
      </vt:variant>
      <vt:variant>
        <vt:i4>5832710</vt:i4>
      </vt:variant>
      <vt:variant>
        <vt:i4>54</vt:i4>
      </vt:variant>
      <vt:variant>
        <vt:i4>0</vt:i4>
      </vt:variant>
      <vt:variant>
        <vt:i4>5</vt:i4>
      </vt:variant>
      <vt:variant>
        <vt:lpwstr>https://www.childprotection.sa.gov.au/research-and-publications/freedom-information/policy-documents/linked/res-care-supporting-cyp-at-risk-of-selfharm-and-suicide-procedure.pdf</vt:lpwstr>
      </vt:variant>
      <vt:variant>
        <vt:lpwstr/>
      </vt:variant>
      <vt:variant>
        <vt:i4>2359421</vt:i4>
      </vt:variant>
      <vt:variant>
        <vt:i4>51</vt:i4>
      </vt:variant>
      <vt:variant>
        <vt:i4>0</vt:i4>
      </vt:variant>
      <vt:variant>
        <vt:i4>5</vt:i4>
      </vt:variant>
      <vt:variant>
        <vt:lpwstr>https://www.indigenousmhspc.gov.au/getattachment/15fbcd00-30f1-4170-acd3-206c3b884a61/aihw-2021-criminal-justice-system-20210804.pdf?v=1746</vt:lpwstr>
      </vt:variant>
      <vt:variant>
        <vt:lpwstr/>
      </vt:variant>
      <vt:variant>
        <vt:i4>7667763</vt:i4>
      </vt:variant>
      <vt:variant>
        <vt:i4>48</vt:i4>
      </vt:variant>
      <vt:variant>
        <vt:i4>0</vt:i4>
      </vt:variant>
      <vt:variant>
        <vt:i4>5</vt:i4>
      </vt:variant>
      <vt:variant>
        <vt:lpwstr>https://www.orygen.org.au/Orygen-Institute/Policy-Areas/Population-groups/Aboriginal-and-Torres-Strait-Islander-young-people/Orygen-Aboriginal-torres-strait-islander-policy-br?ext</vt:lpwstr>
      </vt:variant>
      <vt:variant>
        <vt:lpwstr/>
      </vt:variant>
      <vt:variant>
        <vt:i4>7864381</vt:i4>
      </vt:variant>
      <vt:variant>
        <vt:i4>45</vt:i4>
      </vt:variant>
      <vt:variant>
        <vt:i4>0</vt:i4>
      </vt:variant>
      <vt:variant>
        <vt:i4>5</vt:i4>
      </vt:variant>
      <vt:variant>
        <vt:lpwstr>https://www.aihw.gov.au/reports/indigenous-australians/closing-the-gap-targets-key-findings-implications/contents/youth-justice</vt:lpwstr>
      </vt:variant>
      <vt:variant>
        <vt:lpwstr/>
      </vt:variant>
      <vt:variant>
        <vt:i4>3342386</vt:i4>
      </vt:variant>
      <vt:variant>
        <vt:i4>41</vt:i4>
      </vt:variant>
      <vt:variant>
        <vt:i4>0</vt:i4>
      </vt:variant>
      <vt:variant>
        <vt:i4>5</vt:i4>
      </vt:variant>
      <vt:variant>
        <vt:lpwstr>https://digitallibrary.un.org/record/1303201?ln=en</vt:lpwstr>
      </vt:variant>
      <vt:variant>
        <vt:lpwstr/>
      </vt:variant>
      <vt:variant>
        <vt:i4>7929876</vt:i4>
      </vt:variant>
      <vt:variant>
        <vt:i4>36</vt:i4>
      </vt:variant>
      <vt:variant>
        <vt:i4>0</vt:i4>
      </vt:variant>
      <vt:variant>
        <vt:i4>5</vt:i4>
      </vt:variant>
      <vt:variant>
        <vt:lpwstr>https://humanrights.gov.au/__data/assets/pdf_file/0025/25477/1807_help_way_earlier_-_accessible_0-1-2.pdf</vt:lpwstr>
      </vt:variant>
      <vt:variant>
        <vt:lpwstr/>
      </vt:variant>
      <vt:variant>
        <vt:i4>4784196</vt:i4>
      </vt:variant>
      <vt:variant>
        <vt:i4>33</vt:i4>
      </vt:variant>
      <vt:variant>
        <vt:i4>0</vt:i4>
      </vt:variant>
      <vt:variant>
        <vt:i4>5</vt:i4>
      </vt:variant>
      <vt:variant>
        <vt:lpwstr>https://cdn.craft.cloud/06ad3276-b3d9-4912-bcbb-37795aade9a8/assets/documents/Yoorrook-for-justice-report.pdf</vt:lpwstr>
      </vt:variant>
      <vt:variant>
        <vt:lpwstr/>
      </vt:variant>
      <vt:variant>
        <vt:i4>3735667</vt:i4>
      </vt:variant>
      <vt:variant>
        <vt:i4>30</vt:i4>
      </vt:variant>
      <vt:variant>
        <vt:i4>0</vt:i4>
      </vt:variant>
      <vt:variant>
        <vt:i4>5</vt:i4>
      </vt:variant>
      <vt:variant>
        <vt:lpwstr>https://www.pc.gov.au/inquiries/completed/closing-the-gap-review/report</vt:lpwstr>
      </vt:variant>
      <vt:variant>
        <vt:lpwstr/>
      </vt:variant>
      <vt:variant>
        <vt:i4>3735667</vt:i4>
      </vt:variant>
      <vt:variant>
        <vt:i4>27</vt:i4>
      </vt:variant>
      <vt:variant>
        <vt:i4>0</vt:i4>
      </vt:variant>
      <vt:variant>
        <vt:i4>5</vt:i4>
      </vt:variant>
      <vt:variant>
        <vt:lpwstr>https://www.pc.gov.au/inquiries/completed/closing-the-gap-review/report</vt:lpwstr>
      </vt:variant>
      <vt:variant>
        <vt:lpwstr/>
      </vt:variant>
      <vt:variant>
        <vt:i4>7340154</vt:i4>
      </vt:variant>
      <vt:variant>
        <vt:i4>24</vt:i4>
      </vt:variant>
      <vt:variant>
        <vt:i4>0</vt:i4>
      </vt:variant>
      <vt:variant>
        <vt:i4>5</vt:i4>
      </vt:variant>
      <vt:variant>
        <vt:lpwstr>https://aifs.gov.au/resources/policy-and-practice-papers/child-protection-and-aboriginal-and-torres-strait-islander</vt:lpwstr>
      </vt:variant>
      <vt:variant>
        <vt:lpwstr/>
      </vt:variant>
      <vt:variant>
        <vt:i4>5832754</vt:i4>
      </vt:variant>
      <vt:variant>
        <vt:i4>21</vt:i4>
      </vt:variant>
      <vt:variant>
        <vt:i4>0</vt:i4>
      </vt:variant>
      <vt:variant>
        <vt:i4>5</vt:i4>
      </vt:variant>
      <vt:variant>
        <vt:lpwstr>https://www.aic.gov.au/sites/default/files/2026-02/ijc_bail_and_remand_across_australia.pdf</vt:lpwstr>
      </vt:variant>
      <vt:variant>
        <vt:lpwstr/>
      </vt:variant>
      <vt:variant>
        <vt:i4>2621555</vt:i4>
      </vt:variant>
      <vt:variant>
        <vt:i4>18</vt:i4>
      </vt:variant>
      <vt:variant>
        <vt:i4>0</vt:i4>
      </vt:variant>
      <vt:variant>
        <vt:i4>5</vt:i4>
      </vt:variant>
      <vt:variant>
        <vt:lpwstr>https://www.austlii.edu.au/au/other/IndigLRes/rciadic/national/vol4/76.html</vt:lpwstr>
      </vt:variant>
      <vt:variant>
        <vt:lpwstr/>
      </vt:variant>
      <vt:variant>
        <vt:i4>7864381</vt:i4>
      </vt:variant>
      <vt:variant>
        <vt:i4>15</vt:i4>
      </vt:variant>
      <vt:variant>
        <vt:i4>0</vt:i4>
      </vt:variant>
      <vt:variant>
        <vt:i4>5</vt:i4>
      </vt:variant>
      <vt:variant>
        <vt:lpwstr>https://www.aihw.gov.au/reports/indigenous-australians/closing-the-gap-targets-key-findings-implications/contents/youth-justice</vt:lpwstr>
      </vt:variant>
      <vt:variant>
        <vt:lpwstr/>
      </vt:variant>
      <vt:variant>
        <vt:i4>7864381</vt:i4>
      </vt:variant>
      <vt:variant>
        <vt:i4>12</vt:i4>
      </vt:variant>
      <vt:variant>
        <vt:i4>0</vt:i4>
      </vt:variant>
      <vt:variant>
        <vt:i4>5</vt:i4>
      </vt:variant>
      <vt:variant>
        <vt:lpwstr>https://www.aihw.gov.au/reports/indigenous-australians/closing-the-gap-targets-key-findings-implications/contents/youth-justice</vt:lpwstr>
      </vt:variant>
      <vt:variant>
        <vt:lpwstr/>
      </vt:variant>
      <vt:variant>
        <vt:i4>852078</vt:i4>
      </vt:variant>
      <vt:variant>
        <vt:i4>9</vt:i4>
      </vt:variant>
      <vt:variant>
        <vt:i4>0</vt:i4>
      </vt:variant>
      <vt:variant>
        <vt:i4>5</vt:i4>
      </vt:variant>
      <vt:variant>
        <vt:lpwstr>https://www.alrc.gov.au/wp-content/uploads/2019/08/final_report_133_amended1.pdf</vt:lpwstr>
      </vt:variant>
      <vt:variant>
        <vt:lpwstr/>
      </vt:variant>
      <vt:variant>
        <vt:i4>2883700</vt:i4>
      </vt:variant>
      <vt:variant>
        <vt:i4>6</vt:i4>
      </vt:variant>
      <vt:variant>
        <vt:i4>0</vt:i4>
      </vt:variant>
      <vt:variant>
        <vt:i4>5</vt:i4>
      </vt:variant>
      <vt:variant>
        <vt:lpwstr>https://www.snaicc.org.au/wp-content/uploads/2026/01/Family-Matters-Report-2025-Web-v2.pdf</vt:lpwstr>
      </vt:variant>
      <vt:variant>
        <vt:lpwstr/>
      </vt:variant>
      <vt:variant>
        <vt:i4>29</vt:i4>
      </vt:variant>
      <vt:variant>
        <vt:i4>3</vt:i4>
      </vt:variant>
      <vt:variant>
        <vt:i4>0</vt:i4>
      </vt:variant>
      <vt:variant>
        <vt:i4>5</vt:i4>
      </vt:variant>
      <vt:variant>
        <vt:lpwstr>https://humanrights.gov.au/resource-hub/by-resource-type/bringing-them-home-reports/bringing-them-home-chapter-24</vt:lpwstr>
      </vt:variant>
      <vt:variant>
        <vt:lpwstr/>
      </vt:variant>
      <vt:variant>
        <vt:i4>196688</vt:i4>
      </vt:variant>
      <vt:variant>
        <vt:i4>0</vt:i4>
      </vt:variant>
      <vt:variant>
        <vt:i4>0</vt:i4>
      </vt:variant>
      <vt:variant>
        <vt:i4>5</vt:i4>
      </vt:variant>
      <vt:variant>
        <vt:lpwstr>https://www.ohchr.org/en/instruments-mechanisms/instruments/international-convention-elimination-all-forms-racial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subject/>
  <dc:creator/>
  <cp:keywords>[SEC=OFFICIAL]</cp:keywords>
  <dc:description/>
  <cp:lastModifiedBy/>
  <cp:revision>1</cp:revision>
  <dcterms:created xsi:type="dcterms:W3CDTF">2026-05-14T00:40:00Z</dcterms:created>
  <dcterms:modified xsi:type="dcterms:W3CDTF">2026-05-14T00:46:00Z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ote">
    <vt:lpwstr/>
  </property>
  <property fmtid="{D5CDD505-2E9C-101B-9397-08002B2CF9AE}" pid="3" name="MSIP_Label_eb34d90b-fc41-464d-af60-f74d721d0790_Name">
    <vt:lpwstr>OFFICIAL</vt:lpwstr>
  </property>
  <property fmtid="{D5CDD505-2E9C-101B-9397-08002B2CF9AE}" pid="4" name="PM_OriginationTimeStamp">
    <vt:lpwstr>2025-12-19T03:20:29Z</vt:lpwstr>
  </property>
  <property fmtid="{D5CDD505-2E9C-101B-9397-08002B2CF9AE}" pid="5" name="PM_ProtectiveMarkingValue_Header">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DowngradeTo">
    <vt:lpwstr/>
  </property>
  <property fmtid="{D5CDD505-2E9C-101B-9397-08002B2CF9AE}" pid="9" name="PM_InsertionValue">
    <vt:lpwstr>OFFICIAL</vt:lpwstr>
  </property>
  <property fmtid="{D5CDD505-2E9C-101B-9397-08002B2CF9AE}" pid="10" name="MSIP_Label_eb34d90b-fc41-464d-af60-f74d721d0790_SiteId">
    <vt:lpwstr>61e36dd1-ca6e-4d61-aa0a-2b4eb88317a3</vt:lpwstr>
  </property>
  <property fmtid="{D5CDD505-2E9C-101B-9397-08002B2CF9AE}" pid="11" name="MSIP_Label_eb34d90b-fc41-464d-af60-f74d721d0790_Enabled">
    <vt:lpwstr>true</vt:lpwstr>
  </property>
  <property fmtid="{D5CDD505-2E9C-101B-9397-08002B2CF9AE}" pid="12" name="MSIP_Label_eb34d90b-fc41-464d-af60-f74d721d0790_ContentBits">
    <vt:lpwstr>3</vt:lpwstr>
  </property>
  <property fmtid="{D5CDD505-2E9C-101B-9397-08002B2CF9AE}" pid="13" name="MSIP_Label_eb34d90b-fc41-464d-af60-f74d721d0790_SetDate">
    <vt:lpwstr>2025-12-19T03:20:29Z</vt:lpwstr>
  </property>
  <property fmtid="{D5CDD505-2E9C-101B-9397-08002B2CF9AE}" pid="14" name="MSIP_Label_eb34d90b-fc41-464d-af60-f74d721d0790_Method">
    <vt:lpwstr>Privileged</vt:lpwstr>
  </property>
  <property fmtid="{D5CDD505-2E9C-101B-9397-08002B2CF9AE}" pid="15" name="PM_ProtectiveMarkingValue_Footer">
    <vt:lpwstr>OFFICIAL</vt:lpwstr>
  </property>
  <property fmtid="{D5CDD505-2E9C-101B-9397-08002B2CF9AE}" pid="16" name="PM_Originating_FileId">
    <vt:lpwstr>5CF4CB8C949F44EBB12FE9F96674AC97</vt:lpwstr>
  </property>
  <property fmtid="{D5CDD505-2E9C-101B-9397-08002B2CF9AE}" pid="17" name="PM_Display">
    <vt:lpwstr>OFFICIAL</vt:lpwstr>
  </property>
  <property fmtid="{D5CDD505-2E9C-101B-9397-08002B2CF9AE}" pid="18" name="PM_OriginatorDomainName_SHA256">
    <vt:lpwstr>E83A2A66C4061446A7E3732E8D44762184B6B377D962B96C83DC624302585857</vt:lpwstr>
  </property>
  <property fmtid="{D5CDD505-2E9C-101B-9397-08002B2CF9AE}" pid="19" name="PMUuid">
    <vt:lpwstr>v=2022.2;d=gov.au;g=46DD6D7C-8107-577B-BC6E-F348953B2E44</vt:lpwstr>
  </property>
  <property fmtid="{D5CDD505-2E9C-101B-9397-08002B2CF9AE}" pid="20" name="PM_Hash_Version">
    <vt:lpwstr>2024.1</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PM_Originator_Hash_SHA1">
    <vt:lpwstr>DC3EAC6FB4874D452CD0D6E554940955B9FF8C9D</vt:lpwstr>
  </property>
  <property fmtid="{D5CDD505-2E9C-101B-9397-08002B2CF9AE}" pid="24" name="PM_OriginatorUserAccountName_SHA256">
    <vt:lpwstr>56084DE7D87471392F5BD2235C8043EAEC8018D05D094D5A8468DE8533D8A2CE</vt:lpwstr>
  </property>
  <property fmtid="{D5CDD505-2E9C-101B-9397-08002B2CF9AE}" pid="25" name="MSIP_Label_eb34d90b-fc41-464d-af60-f74d721d0790_ActionId">
    <vt:lpwstr>4c4239c9e42f46f6bb8bd88ff098599a</vt:lpwstr>
  </property>
  <property fmtid="{D5CDD505-2E9C-101B-9397-08002B2CF9AE}" pid="26" name="PM_Hash_Salt_Prev">
    <vt:lpwstr>4FC77322186B010E6BE05D6EE0A45A62</vt:lpwstr>
  </property>
  <property fmtid="{D5CDD505-2E9C-101B-9397-08002B2CF9AE}" pid="27" name="PM_Hash_Salt">
    <vt:lpwstr>AF1DB756B18A16F5A60360E658EE573C</vt:lpwstr>
  </property>
  <property fmtid="{D5CDD505-2E9C-101B-9397-08002B2CF9AE}" pid="28" name="PM_Hash_SHA1">
    <vt:lpwstr>71FD1149005C00598723529525CF504BADAD2399</vt:lpwstr>
  </property>
  <property fmtid="{D5CDD505-2E9C-101B-9397-08002B2CF9AE}" pid="29" name="PM_Namespace">
    <vt:lpwstr>gov.au</vt:lpwstr>
  </property>
  <property fmtid="{D5CDD505-2E9C-101B-9397-08002B2CF9AE}" pid="30" name="PM_Version">
    <vt:lpwstr>2018.4</vt:lpwstr>
  </property>
  <property fmtid="{D5CDD505-2E9C-101B-9397-08002B2CF9AE}" pid="31" name="PM_SecurityClassification">
    <vt:lpwstr>OFFICIAL</vt:lpwstr>
  </property>
  <property fmtid="{D5CDD505-2E9C-101B-9397-08002B2CF9AE}" pid="32" name="PMHMAC">
    <vt:lpwstr>v=2024.1;a=SHA256;h=A5909136AC58469D13EC26AAAD03AD196173E68D68BF752A2C8D57E3AC4F1354</vt:lpwstr>
  </property>
  <property fmtid="{D5CDD505-2E9C-101B-9397-08002B2CF9AE}" pid="33" name="PM_Qualifier">
    <vt:lpwstr/>
  </property>
  <property fmtid="{D5CDD505-2E9C-101B-9397-08002B2CF9AE}" pid="34" name="PM_Markers">
    <vt:lpwstr/>
  </property>
  <property fmtid="{D5CDD505-2E9C-101B-9397-08002B2CF9AE}" pid="35" name="PM_Caveats_Count">
    <vt:lpwstr>0</vt:lpwstr>
  </property>
  <property fmtid="{D5CDD505-2E9C-101B-9397-08002B2CF9AE}" pid="36" name="PM_DownTo">
    <vt:lpwstr/>
  </property>
</Properties>
</file>