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CFD2" w14:textId="77777777" w:rsidR="00F46F14" w:rsidRPr="00F46F14" w:rsidRDefault="00F46F14" w:rsidP="00423754">
      <w:pPr>
        <w:pStyle w:val="HeaderSpace"/>
      </w:pPr>
      <w:r w:rsidRPr="00F46F14">
        <w:drawing>
          <wp:anchor distT="0" distB="0" distL="114300" distR="114300" simplePos="0" relativeHeight="251658240" behindDoc="0" locked="1" layoutInCell="1" allowOverlap="1" wp14:anchorId="0838EF01" wp14:editId="54F69349">
            <wp:simplePos x="0" y="0"/>
            <wp:positionH relativeFrom="column">
              <wp:posOffset>-542925</wp:posOffset>
            </wp:positionH>
            <wp:positionV relativeFrom="paragraph">
              <wp:posOffset>-542925</wp:posOffset>
            </wp:positionV>
            <wp:extent cx="7566660" cy="1929130"/>
            <wp:effectExtent l="0" t="0" r="0" b="0"/>
            <wp:wrapNone/>
            <wp:docPr id="2031036510" name="Picture 3" descr="A logo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36510" name="Picture 3" descr="A logo on a green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6660" cy="1929130"/>
                    </a:xfrm>
                    <a:prstGeom prst="rect">
                      <a:avLst/>
                    </a:prstGeom>
                  </pic:spPr>
                </pic:pic>
              </a:graphicData>
            </a:graphic>
            <wp14:sizeRelH relativeFrom="margin">
              <wp14:pctWidth>0</wp14:pctWidth>
            </wp14:sizeRelH>
            <wp14:sizeRelV relativeFrom="margin">
              <wp14:pctHeight>0</wp14:pctHeight>
            </wp14:sizeRelV>
          </wp:anchor>
        </w:drawing>
      </w:r>
    </w:p>
    <w:p w14:paraId="57A75AF1" w14:textId="4D3A257A" w:rsidR="00F46F14" w:rsidRPr="00F46F14" w:rsidRDefault="0002003D" w:rsidP="00FC7999">
      <w:pPr>
        <w:pStyle w:val="Heading1"/>
      </w:pPr>
      <w:r>
        <w:t xml:space="preserve">Submission </w:t>
      </w:r>
    </w:p>
    <w:p w14:paraId="322EECAB" w14:textId="77777777" w:rsidR="0002003D" w:rsidRDefault="0002003D" w:rsidP="00FC7999">
      <w:pPr>
        <w:pStyle w:val="IntroductoryText"/>
        <w:rPr>
          <w:rFonts w:eastAsia="Times New Roman"/>
          <w:color w:val="116765"/>
          <w:spacing w:val="15"/>
          <w:sz w:val="28"/>
          <w:szCs w:val="28"/>
        </w:rPr>
      </w:pPr>
      <w:bookmarkStart w:id="0" w:name="_Toc395536189"/>
      <w:r w:rsidRPr="0002003D">
        <w:rPr>
          <w:rFonts w:eastAsia="Times New Roman"/>
          <w:color w:val="116765"/>
          <w:spacing w:val="15"/>
          <w:sz w:val="28"/>
          <w:szCs w:val="28"/>
        </w:rPr>
        <w:t xml:space="preserve">Care and Protection of Children Legislation Amendment (Every Child Matters) Bill 2026 </w:t>
      </w:r>
    </w:p>
    <w:bookmarkEnd w:id="0"/>
    <w:p w14:paraId="666435D1" w14:textId="2B8F1860" w:rsidR="00926D8D" w:rsidRDefault="00926D8D" w:rsidP="004953F0">
      <w:pPr>
        <w:pStyle w:val="Heading2"/>
        <w:rPr>
          <w:rFonts w:eastAsia="Aptos"/>
        </w:rPr>
      </w:pPr>
      <w:r>
        <w:rPr>
          <w:rFonts w:eastAsia="Aptos"/>
        </w:rPr>
        <w:t xml:space="preserve">About the National Commission </w:t>
      </w:r>
    </w:p>
    <w:p w14:paraId="54E1DC88" w14:textId="739C79B9" w:rsidR="00375CE7" w:rsidRPr="00375CE7" w:rsidRDefault="00375CE7" w:rsidP="00375CE7">
      <w:pPr>
        <w:rPr>
          <w:rFonts w:eastAsia="Aptos" w:cs="Times New Roman"/>
        </w:rPr>
      </w:pPr>
      <w:r w:rsidRPr="00375CE7">
        <w:rPr>
          <w:rFonts w:eastAsia="Aptos" w:cs="Times New Roman"/>
        </w:rPr>
        <w:t xml:space="preserve">The National Commission for Aboriginal and Torres Strait Islander Children and Young People is an independent statutory body established under the </w:t>
      </w:r>
      <w:r w:rsidRPr="00375CE7">
        <w:rPr>
          <w:rFonts w:eastAsia="Aptos" w:cs="Times New Roman"/>
          <w:i/>
          <w:iCs/>
        </w:rPr>
        <w:t>National Commission for Aboriginal and Torres Strait Islander Children and Young People Act 202</w:t>
      </w:r>
      <w:r w:rsidR="00E672B0">
        <w:rPr>
          <w:rFonts w:eastAsia="Aptos" w:cs="Times New Roman"/>
          <w:i/>
          <w:iCs/>
        </w:rPr>
        <w:t>6</w:t>
      </w:r>
      <w:r w:rsidRPr="00375CE7">
        <w:rPr>
          <w:rFonts w:eastAsia="Aptos" w:cs="Times New Roman"/>
        </w:rPr>
        <w:t xml:space="preserve"> (</w:t>
      </w:r>
      <w:proofErr w:type="spellStart"/>
      <w:r w:rsidRPr="00375CE7">
        <w:rPr>
          <w:rFonts w:eastAsia="Aptos" w:cs="Times New Roman"/>
        </w:rPr>
        <w:t>Cth</w:t>
      </w:r>
      <w:proofErr w:type="spellEnd"/>
      <w:r w:rsidRPr="00375CE7">
        <w:rPr>
          <w:rFonts w:eastAsia="Aptos" w:cs="Times New Roman"/>
        </w:rPr>
        <w:t>).</w:t>
      </w:r>
    </w:p>
    <w:p w14:paraId="7A73EC14" w14:textId="01F6AD9F" w:rsidR="00926D8D" w:rsidRDefault="00926D8D" w:rsidP="00926D8D">
      <w:pPr>
        <w:rPr>
          <w:rFonts w:eastAsia="Aptos" w:cs="Times New Roman"/>
        </w:rPr>
      </w:pPr>
      <w:r>
        <w:rPr>
          <w:rFonts w:eastAsia="Aptos" w:cs="Times New Roman"/>
        </w:rPr>
        <w:t xml:space="preserve">The National Commission </w:t>
      </w:r>
      <w:r w:rsidRPr="004D50BC">
        <w:rPr>
          <w:rFonts w:eastAsia="Aptos" w:cs="Times New Roman"/>
        </w:rPr>
        <w:t>promote</w:t>
      </w:r>
      <w:r>
        <w:rPr>
          <w:rFonts w:eastAsia="Aptos" w:cs="Times New Roman"/>
        </w:rPr>
        <w:t>s</w:t>
      </w:r>
      <w:r w:rsidRPr="004D50BC">
        <w:rPr>
          <w:rFonts w:eastAsia="Aptos" w:cs="Times New Roman"/>
        </w:rPr>
        <w:t xml:space="preserve"> and </w:t>
      </w:r>
      <w:r>
        <w:rPr>
          <w:rFonts w:eastAsia="Aptos" w:cs="Times New Roman"/>
        </w:rPr>
        <w:t>advances</w:t>
      </w:r>
      <w:r w:rsidRPr="004D50BC">
        <w:rPr>
          <w:rFonts w:eastAsia="Aptos" w:cs="Times New Roman"/>
        </w:rPr>
        <w:t xml:space="preserve"> the rights of Aboriginal and Torres Strait Islander </w:t>
      </w:r>
      <w:r>
        <w:rPr>
          <w:rFonts w:eastAsia="Aptos" w:cs="Times New Roman"/>
        </w:rPr>
        <w:t>children and young people</w:t>
      </w:r>
      <w:r w:rsidRPr="004D50BC">
        <w:rPr>
          <w:rFonts w:eastAsia="Aptos" w:cs="Times New Roman"/>
        </w:rPr>
        <w:t xml:space="preserve">, including by scrutinising legislation and policy to ensure alignment with cultural rights, </w:t>
      </w:r>
      <w:r w:rsidR="00F65E02">
        <w:rPr>
          <w:rFonts w:eastAsia="Aptos" w:cs="Times New Roman"/>
        </w:rPr>
        <w:t xml:space="preserve">and </w:t>
      </w:r>
      <w:r w:rsidRPr="004D50BC">
        <w:rPr>
          <w:rFonts w:eastAsia="Aptos" w:cs="Times New Roman"/>
        </w:rPr>
        <w:t>self-determination</w:t>
      </w:r>
      <w:r w:rsidR="00F65E02">
        <w:rPr>
          <w:rFonts w:eastAsia="Aptos" w:cs="Times New Roman"/>
        </w:rPr>
        <w:t>.</w:t>
      </w:r>
    </w:p>
    <w:p w14:paraId="067FE5B5" w14:textId="110FD903" w:rsidR="00F65E02" w:rsidRPr="00125137" w:rsidRDefault="00926D8D" w:rsidP="00926D8D">
      <w:pPr>
        <w:rPr>
          <w:rFonts w:eastAsia="Aptos" w:cs="Times New Roman"/>
        </w:rPr>
      </w:pPr>
      <w:r>
        <w:rPr>
          <w:rFonts w:eastAsia="Aptos" w:cs="Times New Roman"/>
        </w:rPr>
        <w:t>T</w:t>
      </w:r>
      <w:r w:rsidRPr="00125137">
        <w:rPr>
          <w:rFonts w:eastAsia="Aptos" w:cs="Times New Roman"/>
        </w:rPr>
        <w:t xml:space="preserve">he work of the National Commission is grounded in national and international human rights frameworks, including the </w:t>
      </w:r>
      <w:r w:rsidRPr="00125137">
        <w:rPr>
          <w:rFonts w:eastAsia="Aptos" w:cs="Times New Roman"/>
          <w:i/>
          <w:iCs/>
        </w:rPr>
        <w:t>United Nations Convention on the Rights of the Child</w:t>
      </w:r>
      <w:r w:rsidRPr="00125137">
        <w:rPr>
          <w:rFonts w:eastAsia="Aptos" w:cs="Times New Roman"/>
        </w:rPr>
        <w:t xml:space="preserve"> and the </w:t>
      </w:r>
      <w:r w:rsidRPr="00125137">
        <w:rPr>
          <w:rFonts w:eastAsia="Aptos" w:cs="Times New Roman"/>
          <w:i/>
          <w:iCs/>
        </w:rPr>
        <w:t>United Nations Declaration on the Rights of Indigenous Peoples</w:t>
      </w:r>
      <w:r w:rsidRPr="00125137">
        <w:rPr>
          <w:rFonts w:eastAsia="Aptos" w:cs="Times New Roman"/>
        </w:rPr>
        <w:t>. A core focus is ensuring that systems affecting Aboriginal and Torres Strait Islander children uphold cultural rights, strengthen connection to family, community and Country, and are designed and delivered in partnership with Aboriginal community-controlled organisations.</w:t>
      </w:r>
    </w:p>
    <w:p w14:paraId="324D5E8B" w14:textId="436720DA" w:rsidR="00A00EEF" w:rsidRDefault="00884ECE" w:rsidP="004953F0">
      <w:pPr>
        <w:pStyle w:val="Heading2"/>
        <w:rPr>
          <w:rFonts w:eastAsia="Aptos"/>
        </w:rPr>
      </w:pPr>
      <w:r>
        <w:rPr>
          <w:rFonts w:eastAsia="Aptos"/>
        </w:rPr>
        <w:t>Executive Summary</w:t>
      </w:r>
    </w:p>
    <w:p w14:paraId="381C1DD8" w14:textId="7797BEB9" w:rsidR="00A13DD2" w:rsidRDefault="00A13DD2" w:rsidP="00100F3B">
      <w:pPr>
        <w:rPr>
          <w:rFonts w:eastAsia="Aptos" w:cs="Times New Roman"/>
        </w:rPr>
      </w:pPr>
      <w:r w:rsidRPr="00A13DD2">
        <w:rPr>
          <w:rFonts w:eastAsia="Aptos" w:cs="Times New Roman"/>
        </w:rPr>
        <w:t xml:space="preserve">The National Commission </w:t>
      </w:r>
      <w:r w:rsidR="00D54199">
        <w:rPr>
          <w:rFonts w:eastAsia="Aptos" w:cs="Times New Roman"/>
        </w:rPr>
        <w:t>raises</w:t>
      </w:r>
      <w:r w:rsidRPr="00A13DD2">
        <w:rPr>
          <w:rFonts w:eastAsia="Aptos" w:cs="Times New Roman"/>
        </w:rPr>
        <w:t xml:space="preserve"> serious concerns about the Care and Protection of Children Amendment (Every Child Matters</w:t>
      </w:r>
      <w:r>
        <w:rPr>
          <w:rFonts w:eastAsia="Aptos" w:cs="Times New Roman"/>
        </w:rPr>
        <w:t>)</w:t>
      </w:r>
      <w:r w:rsidRPr="00A13DD2">
        <w:rPr>
          <w:rFonts w:eastAsia="Aptos" w:cs="Times New Roman"/>
        </w:rPr>
        <w:t xml:space="preserve"> Bill 2026</w:t>
      </w:r>
      <w:r>
        <w:rPr>
          <w:rFonts w:eastAsia="Aptos" w:cs="Times New Roman"/>
        </w:rPr>
        <w:t xml:space="preserve"> </w:t>
      </w:r>
      <w:r w:rsidR="004D50BC" w:rsidRPr="004D50BC">
        <w:rPr>
          <w:rFonts w:eastAsia="Aptos" w:cs="Times New Roman"/>
        </w:rPr>
        <w:t>and its implications for Aboriginal children, families and communities</w:t>
      </w:r>
      <w:r w:rsidR="00D54199">
        <w:rPr>
          <w:rFonts w:eastAsia="Aptos" w:cs="Times New Roman"/>
        </w:rPr>
        <w:t xml:space="preserve"> in the Northern Territory</w:t>
      </w:r>
      <w:r w:rsidR="004D50BC" w:rsidRPr="004D50BC">
        <w:rPr>
          <w:rFonts w:eastAsia="Aptos" w:cs="Times New Roman"/>
        </w:rPr>
        <w:t xml:space="preserve">. </w:t>
      </w:r>
    </w:p>
    <w:p w14:paraId="26D45E20" w14:textId="31BFA860" w:rsidR="00E678DB" w:rsidRPr="00E678DB" w:rsidRDefault="004D50BC" w:rsidP="00E678DB">
      <w:pPr>
        <w:rPr>
          <w:rFonts w:eastAsia="Aptos" w:cs="Times New Roman"/>
        </w:rPr>
      </w:pPr>
      <w:r w:rsidRPr="004D50BC">
        <w:rPr>
          <w:rFonts w:eastAsia="Aptos" w:cs="Times New Roman"/>
        </w:rPr>
        <w:t xml:space="preserve">In line with the Legislative Scrutiny Committee’s mandate, </w:t>
      </w:r>
      <w:r w:rsidR="00036DBE">
        <w:rPr>
          <w:rFonts w:eastAsia="Aptos" w:cs="Times New Roman"/>
        </w:rPr>
        <w:t>this submission</w:t>
      </w:r>
      <w:r w:rsidRPr="004D50BC">
        <w:rPr>
          <w:rFonts w:eastAsia="Aptos" w:cs="Times New Roman"/>
        </w:rPr>
        <w:t xml:space="preserve"> focuses on the Bill’s impact on rights, safeguards, and systemic equity</w:t>
      </w:r>
      <w:r w:rsidR="00DB17DE">
        <w:rPr>
          <w:rFonts w:eastAsia="Aptos" w:cs="Times New Roman"/>
        </w:rPr>
        <w:t xml:space="preserve">. This is prioritised </w:t>
      </w:r>
      <w:r w:rsidR="00A13DD2">
        <w:rPr>
          <w:rFonts w:eastAsia="Aptos" w:cs="Times New Roman"/>
        </w:rPr>
        <w:t>through the following topics:</w:t>
      </w:r>
    </w:p>
    <w:p w14:paraId="55E09C85" w14:textId="005EDD94" w:rsidR="00A878F0" w:rsidRPr="00A878F0" w:rsidRDefault="00A9059A" w:rsidP="00A878F0">
      <w:pPr>
        <w:pStyle w:val="ListParagraph"/>
        <w:numPr>
          <w:ilvl w:val="0"/>
          <w:numId w:val="32"/>
        </w:numPr>
        <w:rPr>
          <w:rFonts w:eastAsia="Aptos" w:cs="Times New Roman"/>
        </w:rPr>
      </w:pPr>
      <w:r w:rsidRPr="00A878F0">
        <w:rPr>
          <w:rFonts w:eastAsia="Aptos" w:cs="Times New Roman"/>
        </w:rPr>
        <w:t xml:space="preserve">The Aboriginal and Torres Strait Islander Child Placement Principle </w:t>
      </w:r>
      <w:r w:rsidR="00CA7142">
        <w:rPr>
          <w:rFonts w:eastAsia="Aptos" w:cs="Times New Roman"/>
        </w:rPr>
        <w:t>(ATSICPP)</w:t>
      </w:r>
    </w:p>
    <w:p w14:paraId="5ECC0B11" w14:textId="4D3719AB" w:rsidR="004D1E14" w:rsidRPr="00A878F0" w:rsidRDefault="004D1E14" w:rsidP="00A878F0">
      <w:pPr>
        <w:pStyle w:val="ListParagraph"/>
        <w:numPr>
          <w:ilvl w:val="0"/>
          <w:numId w:val="32"/>
        </w:numPr>
        <w:rPr>
          <w:rFonts w:eastAsia="Aptos" w:cs="Times New Roman"/>
        </w:rPr>
      </w:pPr>
      <w:r w:rsidRPr="00A878F0">
        <w:rPr>
          <w:rFonts w:eastAsia="Aptos" w:cs="Times New Roman"/>
        </w:rPr>
        <w:t xml:space="preserve">The restructuring of the best </w:t>
      </w:r>
      <w:proofErr w:type="gramStart"/>
      <w:r w:rsidRPr="00A878F0">
        <w:rPr>
          <w:rFonts w:eastAsia="Aptos" w:cs="Times New Roman"/>
        </w:rPr>
        <w:t>interests</w:t>
      </w:r>
      <w:proofErr w:type="gramEnd"/>
      <w:r w:rsidRPr="00A878F0">
        <w:rPr>
          <w:rFonts w:eastAsia="Aptos" w:cs="Times New Roman"/>
        </w:rPr>
        <w:t xml:space="preserve"> framework, including the elevation of safety and the downgrading of culture and family connection</w:t>
      </w:r>
    </w:p>
    <w:p w14:paraId="453FB75E" w14:textId="77777777" w:rsidR="00AC3631" w:rsidRPr="00A878F0" w:rsidRDefault="00AC3631" w:rsidP="00A878F0">
      <w:pPr>
        <w:pStyle w:val="ListParagraph"/>
        <w:numPr>
          <w:ilvl w:val="0"/>
          <w:numId w:val="32"/>
        </w:numPr>
        <w:rPr>
          <w:rFonts w:eastAsia="Aptos" w:cs="Times New Roman"/>
        </w:rPr>
      </w:pPr>
      <w:r w:rsidRPr="00A878F0">
        <w:rPr>
          <w:rFonts w:eastAsia="Aptos" w:cs="Times New Roman"/>
        </w:rPr>
        <w:t>The introduction of strict reunification timeframes and their impact on pathways to permanent care</w:t>
      </w:r>
    </w:p>
    <w:p w14:paraId="6929A3D5" w14:textId="77777777" w:rsidR="00892D67" w:rsidRPr="00A878F0" w:rsidRDefault="00AC3631" w:rsidP="00B702EB">
      <w:pPr>
        <w:pStyle w:val="ListParagraph"/>
        <w:numPr>
          <w:ilvl w:val="0"/>
          <w:numId w:val="32"/>
        </w:numPr>
        <w:spacing w:line="240" w:lineRule="auto"/>
        <w:ind w:left="714" w:hanging="357"/>
        <w:rPr>
          <w:rFonts w:eastAsia="Aptos" w:cs="Times New Roman"/>
        </w:rPr>
      </w:pPr>
      <w:r w:rsidRPr="00A878F0">
        <w:rPr>
          <w:rFonts w:eastAsia="Aptos" w:cs="Times New Roman"/>
        </w:rPr>
        <w:t>The establishment of Family Responsibility Agreements and Orders as enforceable compliance mechanism</w:t>
      </w:r>
      <w:r w:rsidR="00892D67" w:rsidRPr="00A878F0">
        <w:rPr>
          <w:rFonts w:eastAsia="Aptos" w:cs="Times New Roman"/>
        </w:rPr>
        <w:t>s.</w:t>
      </w:r>
    </w:p>
    <w:p w14:paraId="1FCA36B7" w14:textId="0AB02D0B" w:rsidR="00B45F93" w:rsidRPr="00B45F93" w:rsidRDefault="00F04566" w:rsidP="00B45F93">
      <w:pPr>
        <w:rPr>
          <w:rFonts w:eastAsia="Aptos" w:cs="Times New Roman"/>
        </w:rPr>
      </w:pPr>
      <w:r w:rsidRPr="00F04566">
        <w:rPr>
          <w:rFonts w:eastAsia="Aptos" w:cs="Times New Roman"/>
        </w:rPr>
        <w:t>Collectively, these reforms shift the system from a holistic, culturally informed model of child protection to a hierarchical and compliance-driven framework. The changes reduce the legislative weight given to cultural connection, expand</w:t>
      </w:r>
      <w:r w:rsidR="00430C5C">
        <w:rPr>
          <w:rFonts w:eastAsia="Aptos" w:cs="Times New Roman"/>
        </w:rPr>
        <w:t xml:space="preserve"> departmental d</w:t>
      </w:r>
      <w:r w:rsidRPr="00F04566">
        <w:rPr>
          <w:rFonts w:eastAsia="Aptos" w:cs="Times New Roman"/>
        </w:rPr>
        <w:t xml:space="preserve">iscretion and prioritise administrative permanency over relational and community-based approaches to child </w:t>
      </w:r>
      <w:r w:rsidR="00C03071">
        <w:rPr>
          <w:rFonts w:eastAsia="Aptos" w:cs="Times New Roman"/>
        </w:rPr>
        <w:t xml:space="preserve">safety and </w:t>
      </w:r>
      <w:r w:rsidRPr="00F04566">
        <w:rPr>
          <w:rFonts w:eastAsia="Aptos" w:cs="Times New Roman"/>
        </w:rPr>
        <w:t>wellbeing.</w:t>
      </w:r>
    </w:p>
    <w:p w14:paraId="69754761" w14:textId="0A4022BF" w:rsidR="00B45F93" w:rsidRDefault="00B45379" w:rsidP="00B45F93">
      <w:pPr>
        <w:rPr>
          <w:rFonts w:eastAsia="Aptos" w:cs="Times New Roman"/>
        </w:rPr>
      </w:pPr>
      <w:r w:rsidRPr="00B45379">
        <w:rPr>
          <w:rFonts w:eastAsia="Aptos" w:cs="Times New Roman"/>
        </w:rPr>
        <w:t>In a context of significant over-representation of Aboriginal children in out-of-home care, these changes are likely to increase removals and accelerate pathways to permanent care, separating children from family, culture and community.</w:t>
      </w:r>
      <w:r w:rsidR="00126430" w:rsidRPr="00126430">
        <w:rPr>
          <w:rFonts w:eastAsia="Aptos" w:cs="Times New Roman"/>
        </w:rPr>
        <w:t xml:space="preserve"> </w:t>
      </w:r>
      <w:r w:rsidR="00B45F93" w:rsidRPr="00B45F93">
        <w:rPr>
          <w:rFonts w:eastAsia="Aptos" w:cs="Times New Roman"/>
        </w:rPr>
        <w:t>The</w:t>
      </w:r>
      <w:r w:rsidR="00C24AC2">
        <w:rPr>
          <w:rFonts w:eastAsia="Aptos" w:cs="Times New Roman"/>
        </w:rPr>
        <w:t xml:space="preserve"> National</w:t>
      </w:r>
      <w:r w:rsidR="00B45F93" w:rsidRPr="00B45F93">
        <w:rPr>
          <w:rFonts w:eastAsia="Aptos" w:cs="Times New Roman"/>
        </w:rPr>
        <w:t xml:space="preserve"> Commission considers that the Bill raises substantial concerns regarding the protection of rights, adequacy of safeguards and consistency with national reform frameworks, including </w:t>
      </w:r>
      <w:r w:rsidR="00B45F93" w:rsidRPr="00286CBF">
        <w:rPr>
          <w:rFonts w:eastAsia="Aptos" w:cs="Times New Roman"/>
          <w:i/>
          <w:iCs/>
        </w:rPr>
        <w:t>Safe and Supported</w:t>
      </w:r>
      <w:r w:rsidR="00C03071" w:rsidRPr="00286CBF">
        <w:rPr>
          <w:rFonts w:eastAsia="Aptos" w:cs="Times New Roman"/>
          <w:i/>
          <w:iCs/>
        </w:rPr>
        <w:t>: The National Framework for Protecting Australia’s Children 2021-2031</w:t>
      </w:r>
      <w:r w:rsidR="00B45F93" w:rsidRPr="00B45F93">
        <w:rPr>
          <w:rFonts w:eastAsia="Aptos" w:cs="Times New Roman"/>
        </w:rPr>
        <w:t xml:space="preserve"> and the </w:t>
      </w:r>
      <w:r w:rsidR="00B45F93" w:rsidRPr="00286CBF">
        <w:rPr>
          <w:rFonts w:eastAsia="Aptos" w:cs="Times New Roman"/>
          <w:i/>
          <w:iCs/>
        </w:rPr>
        <w:t>National Agreement on Closing the Gap</w:t>
      </w:r>
      <w:r w:rsidR="00B45F93" w:rsidRPr="00B45F93">
        <w:rPr>
          <w:rFonts w:eastAsia="Aptos" w:cs="Times New Roman"/>
        </w:rPr>
        <w:t xml:space="preserve">. </w:t>
      </w:r>
      <w:r w:rsidR="00E91106" w:rsidRPr="00E91106">
        <w:rPr>
          <w:rFonts w:eastAsia="Aptos" w:cs="Times New Roman"/>
        </w:rPr>
        <w:t>Without amendment, the Bill will reinforce the structural drivers of over-representation and long-term harm in the child protection system</w:t>
      </w:r>
      <w:r w:rsidR="009F41D1">
        <w:rPr>
          <w:rFonts w:eastAsia="Aptos" w:cs="Times New Roman"/>
        </w:rPr>
        <w:t xml:space="preserve"> in the Northern Territory</w:t>
      </w:r>
      <w:r w:rsidR="00E91106" w:rsidRPr="00E91106">
        <w:rPr>
          <w:rFonts w:eastAsia="Aptos" w:cs="Times New Roman"/>
        </w:rPr>
        <w:t>.</w:t>
      </w:r>
    </w:p>
    <w:p w14:paraId="59AAE26E" w14:textId="59E9DA07" w:rsidR="00F65E02" w:rsidRPr="00F65E02" w:rsidRDefault="00F65E02" w:rsidP="00B702EB">
      <w:pPr>
        <w:pStyle w:val="Heading4"/>
      </w:pPr>
      <w:r w:rsidRPr="00F65E02">
        <w:lastRenderedPageBreak/>
        <w:t>Recommendations</w:t>
      </w:r>
    </w:p>
    <w:p w14:paraId="32A79BBC" w14:textId="77777777" w:rsidR="00F65E02" w:rsidRPr="00F65E02" w:rsidRDefault="00F65E02" w:rsidP="00F65E02">
      <w:r w:rsidRPr="00F65E02">
        <w:rPr>
          <w:b/>
          <w:bCs/>
        </w:rPr>
        <w:t>Recommendation 1:</w:t>
      </w:r>
      <w:r w:rsidRPr="00F65E02">
        <w:t xml:space="preserve"> The </w:t>
      </w:r>
      <w:r w:rsidRPr="00F65E02">
        <w:rPr>
          <w:i/>
          <w:iCs/>
        </w:rPr>
        <w:t>Care and Protection of Children Legislation Amendment (Every Child Matters) Bill 2026</w:t>
      </w:r>
      <w:r w:rsidRPr="00F65E02">
        <w:t xml:space="preserve"> not be passed.</w:t>
      </w:r>
    </w:p>
    <w:p w14:paraId="630E4746" w14:textId="77777777" w:rsidR="00F65E02" w:rsidRPr="00F65E02" w:rsidRDefault="00F65E02" w:rsidP="00F65E02">
      <w:r w:rsidRPr="00F65E02">
        <w:rPr>
          <w:b/>
          <w:bCs/>
        </w:rPr>
        <w:t>Recommendation 2:</w:t>
      </w:r>
      <w:r w:rsidRPr="00F65E02">
        <w:t xml:space="preserve"> The Northern Territory Government undertake genuine consultation with Aboriginal community-controlled organisations on any future legislative reform.</w:t>
      </w:r>
    </w:p>
    <w:p w14:paraId="35D12950" w14:textId="77777777" w:rsidR="00F65E02" w:rsidRPr="00F65E02" w:rsidRDefault="00F65E02" w:rsidP="00F65E02">
      <w:r w:rsidRPr="00F65E02">
        <w:rPr>
          <w:b/>
          <w:bCs/>
        </w:rPr>
        <w:t>Recommendation 3:</w:t>
      </w:r>
      <w:r w:rsidRPr="00F65E02">
        <w:t xml:space="preserve"> Any future reform retain the Aboriginal and Torres Strait Islander Child Placement Principle (ATSICPP) as a binding legislative requirement, applied to the standard of active efforts.</w:t>
      </w:r>
    </w:p>
    <w:p w14:paraId="342AB695" w14:textId="77777777" w:rsidR="00F65E02" w:rsidRPr="00F65E02" w:rsidRDefault="00F65E02" w:rsidP="00F65E02">
      <w:r w:rsidRPr="00F65E02">
        <w:rPr>
          <w:b/>
          <w:bCs/>
        </w:rPr>
        <w:t>Recommendation 4:</w:t>
      </w:r>
      <w:r w:rsidRPr="00F65E02">
        <w:t xml:space="preserve"> The current threshold for removal — that a child </w:t>
      </w:r>
      <w:r w:rsidRPr="00F65E02">
        <w:rPr>
          <w:i/>
          <w:iCs/>
        </w:rPr>
        <w:t>may be removed</w:t>
      </w:r>
      <w:r w:rsidRPr="00F65E02">
        <w:t xml:space="preserve"> only where there is an </w:t>
      </w:r>
      <w:r w:rsidRPr="00F65E02">
        <w:rPr>
          <w:i/>
          <w:iCs/>
        </w:rPr>
        <w:t>unacceptable risk of harm</w:t>
      </w:r>
      <w:r w:rsidRPr="00F65E02">
        <w:t xml:space="preserve"> — be retained.</w:t>
      </w:r>
    </w:p>
    <w:p w14:paraId="65AB47C5" w14:textId="77777777" w:rsidR="00F65E02" w:rsidRPr="00F65E02" w:rsidRDefault="00F65E02" w:rsidP="00F65E02">
      <w:r w:rsidRPr="00F65E02">
        <w:rPr>
          <w:b/>
          <w:bCs/>
        </w:rPr>
        <w:t>Recommendation 5:</w:t>
      </w:r>
      <w:r w:rsidRPr="00F65E02">
        <w:t xml:space="preserve"> Reunification timeframes not be reduced in the absence of clear evidence that the Department of Children and Families has the capacity to safely reunify children within shorter timeframes.</w:t>
      </w:r>
    </w:p>
    <w:p w14:paraId="76ED4201" w14:textId="77777777" w:rsidR="00F65E02" w:rsidRPr="00F65E02" w:rsidRDefault="00F65E02" w:rsidP="00F65E02">
      <w:r w:rsidRPr="00F65E02">
        <w:rPr>
          <w:b/>
          <w:bCs/>
        </w:rPr>
        <w:t>Recommendation 6:</w:t>
      </w:r>
      <w:r w:rsidRPr="00F65E02">
        <w:t xml:space="preserve"> Family Responsibility Agreements and Family Responsibility Orders not be introduced.</w:t>
      </w:r>
    </w:p>
    <w:p w14:paraId="039110A7" w14:textId="2072A6CA" w:rsidR="00AC3631" w:rsidRDefault="00C53ABE" w:rsidP="00B45F93">
      <w:pPr>
        <w:pStyle w:val="Heading2"/>
        <w:rPr>
          <w:rFonts w:eastAsia="Aptos"/>
        </w:rPr>
      </w:pPr>
      <w:r>
        <w:rPr>
          <w:rFonts w:eastAsia="Aptos"/>
        </w:rPr>
        <w:t>Policy Context</w:t>
      </w:r>
      <w:r w:rsidR="00322CFF">
        <w:rPr>
          <w:rFonts w:eastAsia="Aptos"/>
        </w:rPr>
        <w:t xml:space="preserve">: </w:t>
      </w:r>
      <w:r w:rsidR="00921B08">
        <w:rPr>
          <w:rFonts w:eastAsia="Aptos"/>
        </w:rPr>
        <w:t xml:space="preserve">Safe and Supported Framework </w:t>
      </w:r>
      <w:r w:rsidR="00322CFF">
        <w:rPr>
          <w:rFonts w:eastAsia="Aptos"/>
        </w:rPr>
        <w:t>and Closing the Gap</w:t>
      </w:r>
    </w:p>
    <w:p w14:paraId="64FA6B6C" w14:textId="5B67A377" w:rsidR="00A878F0" w:rsidRPr="00A878F0" w:rsidRDefault="00A878F0" w:rsidP="00A878F0">
      <w:r w:rsidRPr="00A878F0">
        <w:t xml:space="preserve">The National Commission recommends that the proposed amendments be considered within the broader context of </w:t>
      </w:r>
      <w:r w:rsidRPr="00A878F0">
        <w:rPr>
          <w:i/>
          <w:iCs/>
        </w:rPr>
        <w:t>Safe and Supported: The National Framework for Protecting Australia’s Children 2021–2031</w:t>
      </w:r>
      <w:r w:rsidRPr="00A878F0">
        <w:t xml:space="preserve"> and the </w:t>
      </w:r>
      <w:r w:rsidRPr="00A878F0">
        <w:rPr>
          <w:i/>
          <w:iCs/>
        </w:rPr>
        <w:t>National Agreement on Closing the Gap</w:t>
      </w:r>
      <w:r w:rsidR="00DB17DE">
        <w:t>. To</w:t>
      </w:r>
      <w:r w:rsidRPr="00A878F0">
        <w:t xml:space="preserve">gether </w:t>
      </w:r>
      <w:r w:rsidR="00DB17DE">
        <w:t xml:space="preserve">these amendments </w:t>
      </w:r>
      <w:r w:rsidRPr="00A878F0">
        <w:t>establish the national direction for child protection reform.</w:t>
      </w:r>
    </w:p>
    <w:p w14:paraId="75F80704" w14:textId="6A8E538F" w:rsidR="00A878F0" w:rsidRPr="00A878F0" w:rsidRDefault="00A878F0" w:rsidP="00A878F0">
      <w:r w:rsidRPr="00A878F0">
        <w:t>These frameworks prioritise prevention and early intervention, strengthening families and communities</w:t>
      </w:r>
      <w:r w:rsidR="00AE1D2B">
        <w:t xml:space="preserve"> by</w:t>
      </w:r>
      <w:r w:rsidR="00DB17DE">
        <w:t xml:space="preserve"> </w:t>
      </w:r>
      <w:r w:rsidRPr="00A878F0">
        <w:t>ensuring children are safe and connected to family, culture and community. Central to both is a commitment to Aboriginal self-determination, including investment in culturally safe services delivered by Aboriginal community-controlled organisations and full implementation of the ATSICPP across all five elements</w:t>
      </w:r>
      <w:r w:rsidR="00CA7142">
        <w:t xml:space="preserve"> to the standard of active efforts</w:t>
      </w:r>
      <w:r w:rsidRPr="00A878F0">
        <w:t>.</w:t>
      </w:r>
    </w:p>
    <w:p w14:paraId="47321D2A" w14:textId="31966046" w:rsidR="00A878F0" w:rsidRPr="00A878F0" w:rsidRDefault="00024B7C" w:rsidP="00A878F0">
      <w:r w:rsidRPr="00A878F0">
        <w:t>Closing</w:t>
      </w:r>
      <w:r w:rsidR="00A878F0" w:rsidRPr="00A878F0">
        <w:t xml:space="preserve"> the Gap Target 12 aims to reduce the over-representation of Aboriginal and Torres Strait Islander children in out-of-home care by 45 per cent by 2031. Achieving this requires systemic reform that strengthens cultural connection as a protective factor and supports Aboriginal leadership in decision-making.</w:t>
      </w:r>
    </w:p>
    <w:p w14:paraId="0781D133" w14:textId="5F64EC35" w:rsidR="00A878F0" w:rsidRPr="00A878F0" w:rsidRDefault="00A878F0" w:rsidP="00A878F0">
      <w:r w:rsidRPr="00A878F0">
        <w:t xml:space="preserve">In this context, amendments that reduce the prominence of cultural connection, increase discretion to depart from the </w:t>
      </w:r>
      <w:r w:rsidR="000046CF" w:rsidRPr="00FB1894">
        <w:t>ATSICPP</w:t>
      </w:r>
      <w:r w:rsidRPr="00A878F0">
        <w:t>, or narrow holistic decision-making frameworks risk being inconsistent with these national commitments. Where decisions rely heavily on discretion without corresponding safeguards, there is an increased risk that cultural considerations will not be consistently or appropriately applied.</w:t>
      </w:r>
    </w:p>
    <w:p w14:paraId="27AC28A1" w14:textId="477238EB" w:rsidR="00E61DE8" w:rsidRDefault="00835D9A" w:rsidP="00C73346">
      <w:pPr>
        <w:pStyle w:val="Heading2"/>
        <w:rPr>
          <w:rFonts w:eastAsia="Aptos"/>
        </w:rPr>
      </w:pPr>
      <w:r>
        <w:rPr>
          <w:rFonts w:eastAsia="Aptos"/>
        </w:rPr>
        <w:t>Placement Principle and Best Interest Factors</w:t>
      </w:r>
    </w:p>
    <w:p w14:paraId="18567661" w14:textId="685A76DC" w:rsidR="00FB1894" w:rsidRPr="00FB1894" w:rsidRDefault="00FB1894" w:rsidP="00FB1894">
      <w:r w:rsidRPr="00FB1894">
        <w:t>In 2022–23, Aboriginal and Torres Strait Islander children accounted for 81.5% of all new out-of-home care admissions in the Northern Territory</w:t>
      </w:r>
      <w:r w:rsidR="00AE1D2B">
        <w:t>.</w:t>
      </w:r>
      <w:r w:rsidR="007E45D0">
        <w:rPr>
          <w:rStyle w:val="EndnoteReference"/>
        </w:rPr>
        <w:endnoteReference w:id="1"/>
      </w:r>
      <w:r w:rsidR="00B702EB">
        <w:t xml:space="preserve"> This underscores</w:t>
      </w:r>
      <w:r w:rsidR="00B702EB" w:rsidRPr="00FB1894">
        <w:t xml:space="preserve"> the extent to which child protection settings </w:t>
      </w:r>
      <w:r w:rsidR="00B702EB">
        <w:t>already negatively</w:t>
      </w:r>
      <w:r w:rsidR="00B702EB" w:rsidRPr="00FB1894">
        <w:t xml:space="preserve"> </w:t>
      </w:r>
      <w:r w:rsidR="00B702EB">
        <w:t>impac</w:t>
      </w:r>
      <w:r w:rsidR="00B702EB" w:rsidRPr="00FB1894">
        <w:t>t Aboriginal children and families</w:t>
      </w:r>
      <w:r w:rsidR="00B702EB">
        <w:t>.</w:t>
      </w:r>
    </w:p>
    <w:p w14:paraId="4808346A" w14:textId="6D692588" w:rsidR="00FB1894" w:rsidRPr="00FB1894" w:rsidRDefault="00FB1894" w:rsidP="00FB1894">
      <w:r w:rsidRPr="00FB1894">
        <w:t>The ATSICPP is a nationally recognised framework</w:t>
      </w:r>
      <w:r w:rsidR="000046CF">
        <w:t>,</w:t>
      </w:r>
      <w:r w:rsidRPr="00FB1894">
        <w:t xml:space="preserve"> guiding decision-making for Aboriginal children. It requires children to remain connected to family, community, culture and Country, and is underpinned by five interrelated elements: prevention, partnership, participation, placement and connection.</w:t>
      </w:r>
      <w:r w:rsidR="00FD6112">
        <w:rPr>
          <w:rStyle w:val="EndnoteReference"/>
        </w:rPr>
        <w:endnoteReference w:id="2"/>
      </w:r>
      <w:r w:rsidRPr="00FB1894">
        <w:t xml:space="preserve"> Together, these elements reflect a well-established understanding that cultural identity and community connection are not separate from safety but are central to a child’s wellbeing and long-term outcomes.</w:t>
      </w:r>
      <w:r w:rsidR="00FD6112">
        <w:rPr>
          <w:rStyle w:val="EndnoteReference"/>
        </w:rPr>
        <w:endnoteReference w:id="3"/>
      </w:r>
    </w:p>
    <w:p w14:paraId="224E6D3C" w14:textId="0A473A06" w:rsidR="006F75B6" w:rsidRDefault="00FB1894" w:rsidP="00FB1894">
      <w:r w:rsidRPr="00FB1894">
        <w:t xml:space="preserve">Under the current Act, the ATSICPP operates as a mandatory </w:t>
      </w:r>
      <w:r w:rsidR="00CA7142">
        <w:t xml:space="preserve">placement </w:t>
      </w:r>
      <w:r w:rsidRPr="00FB1894">
        <w:t>hierarchy, requiring priority placement with kin, then community, then other Aboriginal carers</w:t>
      </w:r>
      <w:r w:rsidR="00AE1D2B">
        <w:t>. N</w:t>
      </w:r>
      <w:r w:rsidRPr="00FB1894">
        <w:t>on-Indigenous placements</w:t>
      </w:r>
      <w:r w:rsidR="00AE1D2B">
        <w:t xml:space="preserve"> are</w:t>
      </w:r>
      <w:r w:rsidRPr="00FB1894">
        <w:t xml:space="preserve"> only as a last resort</w:t>
      </w:r>
      <w:r w:rsidR="002A5D96">
        <w:t xml:space="preserve"> with an expectation that </w:t>
      </w:r>
      <w:r w:rsidR="00CA7142">
        <w:t xml:space="preserve">children </w:t>
      </w:r>
      <w:r w:rsidR="002A5D96">
        <w:t>are placed in close proximity to the</w:t>
      </w:r>
      <w:r w:rsidR="00CA7142">
        <w:t>ir</w:t>
      </w:r>
      <w:r w:rsidR="002A5D96">
        <w:t xml:space="preserve"> family and community</w:t>
      </w:r>
      <w:r w:rsidRPr="00FB1894">
        <w:t>.</w:t>
      </w:r>
      <w:r w:rsidR="003C629C">
        <w:rPr>
          <w:rStyle w:val="EndnoteReference"/>
        </w:rPr>
        <w:endnoteReference w:id="4"/>
      </w:r>
      <w:r w:rsidRPr="00FB1894">
        <w:t xml:space="preserve"> The Bill </w:t>
      </w:r>
      <w:r w:rsidR="006E4386" w:rsidRPr="00FB1894">
        <w:t xml:space="preserve">shifts the </w:t>
      </w:r>
      <w:r w:rsidR="00EB105E">
        <w:t>ATSICPP</w:t>
      </w:r>
      <w:r w:rsidR="006E4386" w:rsidRPr="00FB1894">
        <w:t xml:space="preserve"> from a binding legislative requirement to a subordinate</w:t>
      </w:r>
      <w:r w:rsidR="004C1802">
        <w:t>, optional</w:t>
      </w:r>
      <w:r w:rsidR="006E4386" w:rsidRPr="00FB1894">
        <w:t xml:space="preserve"> consideration</w:t>
      </w:r>
      <w:r w:rsidR="006E4386">
        <w:t xml:space="preserve">. </w:t>
      </w:r>
      <w:r w:rsidR="00C123A6" w:rsidRPr="00C123A6">
        <w:t xml:space="preserve">It places Aboriginal-specific provisions beneath general placement provisions and subjects them to a prioritised best interests </w:t>
      </w:r>
      <w:r w:rsidR="00071FC2" w:rsidRPr="00C123A6">
        <w:t>test.</w:t>
      </w:r>
      <w:r w:rsidR="00BC3980">
        <w:rPr>
          <w:rStyle w:val="EndnoteReference"/>
        </w:rPr>
        <w:endnoteReference w:id="5"/>
      </w:r>
    </w:p>
    <w:p w14:paraId="4E5DB93D" w14:textId="76F7D958" w:rsidR="00541311" w:rsidRPr="00541311" w:rsidRDefault="00541311" w:rsidP="00541311">
      <w:r w:rsidRPr="00F41DD7">
        <w:t xml:space="preserve">Contrary to the purpose of the ATSICPP, the Bill </w:t>
      </w:r>
      <w:r w:rsidR="00AB7711" w:rsidRPr="00F41DD7">
        <w:t xml:space="preserve">also </w:t>
      </w:r>
      <w:r w:rsidRPr="00F41DD7">
        <w:t xml:space="preserve">lowers the threshold for removal, making it easier for the Northern Territory Department of Children and Families (DCF) to remove children from their families. Currently, </w:t>
      </w:r>
      <w:r w:rsidR="00641893" w:rsidRPr="00F41DD7">
        <w:t>the act states that a child ‘may be removed</w:t>
      </w:r>
      <w:r w:rsidR="009C3EDB" w:rsidRPr="00F41DD7">
        <w:t>’ only in situations where there is ‘</w:t>
      </w:r>
      <w:r w:rsidRPr="00F41DD7">
        <w:t>unacceptable risk of harm’.</w:t>
      </w:r>
      <w:r w:rsidRPr="00F41DD7">
        <w:rPr>
          <w:rStyle w:val="EndnoteReference"/>
        </w:rPr>
        <w:endnoteReference w:id="6"/>
      </w:r>
      <w:r w:rsidRPr="00F41DD7">
        <w:t xml:space="preserve"> The </w:t>
      </w:r>
      <w:r w:rsidRPr="00F41DD7">
        <w:lastRenderedPageBreak/>
        <w:t xml:space="preserve">proposed change </w:t>
      </w:r>
      <w:r w:rsidR="001F4C30" w:rsidRPr="00F41DD7">
        <w:t>states that a child ‘must be removed’ based on a broader test of ‘</w:t>
      </w:r>
      <w:r w:rsidRPr="00F41DD7">
        <w:t xml:space="preserve">significant or likely risk of harm’, expanding the circumstances in which removal </w:t>
      </w:r>
      <w:r w:rsidR="00CD5FCC" w:rsidRPr="00F41DD7">
        <w:t>‘</w:t>
      </w:r>
      <w:r w:rsidRPr="00F41DD7">
        <w:t>m</w:t>
      </w:r>
      <w:r w:rsidR="00CD5FCC" w:rsidRPr="00F41DD7">
        <w:t>ust’</w:t>
      </w:r>
      <w:r w:rsidRPr="00F41DD7">
        <w:t xml:space="preserve"> occur.</w:t>
      </w:r>
      <w:r w:rsidR="006D574E" w:rsidRPr="00F41DD7">
        <w:rPr>
          <w:rStyle w:val="EndnoteReference"/>
        </w:rPr>
        <w:endnoteReference w:id="7"/>
      </w:r>
      <w:r w:rsidRPr="00F41DD7">
        <w:t xml:space="preserve"> In practice, this is likely to result in more children being removed in situations where appropriate, culturally informed support could instead reduce risk and keep families safely together. This is particularly concerning given the well-documented harms associated with removal, including trauma and an increased likelihood of future interaction with the justice system.</w:t>
      </w:r>
    </w:p>
    <w:p w14:paraId="3803B17C" w14:textId="179246A2" w:rsidR="005216FC" w:rsidRPr="00FB1894" w:rsidRDefault="003778B3" w:rsidP="00FB1894">
      <w:r w:rsidRPr="003778B3">
        <w:t>These changes reduce clarity and consistency in decision-making, weaken expectations that culturally appropriate placements will be prioritised, and increase departures from kinship and community placements. They reposition cultural connection as an optional consideration, rather than an essential component of a child’s safety and wellbeing.</w:t>
      </w:r>
      <w:r>
        <w:t xml:space="preserve"> </w:t>
      </w:r>
      <w:r w:rsidR="000D54B3" w:rsidRPr="000D54B3">
        <w:t>As SNAICC’s work demonstrates, the ATSICPP operates as an integrated framework encompassing prevention, partnership, participation, placement and connection.</w:t>
      </w:r>
      <w:r w:rsidR="003C629C">
        <w:rPr>
          <w:rStyle w:val="EndnoteReference"/>
        </w:rPr>
        <w:endnoteReference w:id="8"/>
      </w:r>
      <w:r w:rsidR="00FB1894" w:rsidRPr="00FB1894">
        <w:t xml:space="preserve"> </w:t>
      </w:r>
      <w:r w:rsidR="000D54B3" w:rsidRPr="000D54B3">
        <w:t>Weakening any one element undermines the effectiveness of the whole.</w:t>
      </w:r>
      <w:r w:rsidR="000D54B3">
        <w:t xml:space="preserve"> </w:t>
      </w:r>
      <w:r w:rsidR="00FB1894" w:rsidRPr="00286CBF">
        <w:t>SNAICC’s national review highlights that effective implementation depends on both strong legislative directi</w:t>
      </w:r>
      <w:r w:rsidR="00FB1894" w:rsidRPr="00C65B58">
        <w:t>on</w:t>
      </w:r>
      <w:r w:rsidR="00FB1894" w:rsidRPr="00FB1894">
        <w:t xml:space="preserve"> and sustained investment in Aboriginal community-controlled organisations</w:t>
      </w:r>
      <w:r w:rsidR="006A1FDA">
        <w:t>.</w:t>
      </w:r>
      <w:r w:rsidR="00FB1894" w:rsidRPr="00FB1894">
        <w:t xml:space="preserve"> </w:t>
      </w:r>
      <w:r w:rsidR="006A1FDA">
        <w:t>Both</w:t>
      </w:r>
      <w:r w:rsidR="00FB1894" w:rsidRPr="00FB1894">
        <w:t xml:space="preserve"> are critical to delivering culturally safe supports and enabling genuine partnership.</w:t>
      </w:r>
      <w:r w:rsidR="003C629C">
        <w:rPr>
          <w:rStyle w:val="EndnoteReference"/>
        </w:rPr>
        <w:endnoteReference w:id="9"/>
      </w:r>
    </w:p>
    <w:p w14:paraId="6D924EAA" w14:textId="61AC603C" w:rsidR="00FB1894" w:rsidRPr="00FB1894" w:rsidRDefault="00FB1894" w:rsidP="00FB1894">
      <w:r w:rsidRPr="00FB1894">
        <w:t xml:space="preserve">In the Northern Territory, where implementation challenges already exist, maintaining clear and enforceable legislative </w:t>
      </w:r>
      <w:r w:rsidR="000462B4">
        <w:t>standards</w:t>
      </w:r>
      <w:r w:rsidR="000462B4" w:rsidRPr="00FB1894">
        <w:t xml:space="preserve"> </w:t>
      </w:r>
      <w:r w:rsidRPr="00FB1894">
        <w:t>is essential to ensuring consistency and accountability. The proposed changes risk shifting the system away from a strengths-based approach that recognises culture as protective toward one in which cultural considerations carry less weight in practice, reinforcing existing systemic gaps rather than addressing them.</w:t>
      </w:r>
    </w:p>
    <w:p w14:paraId="6832C92B" w14:textId="42B7E664" w:rsidR="00FB1894" w:rsidRPr="00FB1894" w:rsidRDefault="00FB1894" w:rsidP="00FB1894">
      <w:r w:rsidRPr="00FB1894">
        <w:t>While the current Act does not explicitly rank safety above other factors, the paramountcy principle already ensures that safety and wellbeing are central, alongside other protective elements such as culture and relationships.</w:t>
      </w:r>
      <w:r w:rsidR="00F1010B">
        <w:rPr>
          <w:rStyle w:val="EndnoteReference"/>
        </w:rPr>
        <w:endnoteReference w:id="10"/>
      </w:r>
      <w:r w:rsidRPr="00FB1894">
        <w:t xml:space="preserve"> Introducing a hierarchy</w:t>
      </w:r>
      <w:r w:rsidR="006E4386">
        <w:t xml:space="preserve"> of matters for consideration</w:t>
      </w:r>
      <w:r w:rsidRPr="00FB1894">
        <w:t xml:space="preserve"> is unnecessary and shifts the framework away from a holistic model by treating safety as separate from, rather than inherently connected to, cultural identity and relational stability. This narrowing of the concept of safety risks poorer decision-making outcomes, particularly for Aboriginal children.</w:t>
      </w:r>
    </w:p>
    <w:p w14:paraId="7F5C67E9" w14:textId="2BC3ED97" w:rsidR="00FB1894" w:rsidRPr="00FB1894" w:rsidRDefault="00FB1894" w:rsidP="00FB1894">
      <w:r w:rsidRPr="00FB1894">
        <w:t>Consistent with SNAICC’s analysis, removal from family and community can itself cause harm, with long-term cultural, emotional and developmental consequences. A best interests framework that does not consistently require consideration of these factors risks overlooking these impacts, particularly in a jurisdiction where Aboriginal children remain significantly over-represented in out-of-home care and experience poorer outcomes across multiple indicators.</w:t>
      </w:r>
      <w:r w:rsidR="00F1010B">
        <w:rPr>
          <w:rStyle w:val="EndnoteReference"/>
        </w:rPr>
        <w:endnoteReference w:id="11"/>
      </w:r>
    </w:p>
    <w:p w14:paraId="53B22F58" w14:textId="54227548" w:rsidR="000C47CD" w:rsidRDefault="000C47CD" w:rsidP="000C47CD">
      <w:pPr>
        <w:pStyle w:val="Heading2"/>
        <w:rPr>
          <w:rFonts w:eastAsia="Aptos"/>
        </w:rPr>
      </w:pPr>
      <w:r>
        <w:rPr>
          <w:rFonts w:eastAsia="Aptos"/>
        </w:rPr>
        <w:t>Reunification and Permanence</w:t>
      </w:r>
    </w:p>
    <w:p w14:paraId="27F2E464" w14:textId="7E35E3DA" w:rsidR="0042183E" w:rsidRDefault="0042183E" w:rsidP="0042183E">
      <w:r>
        <w:t xml:space="preserve">The reunification and permanence provisions of the Bill limit timeframes for reunification and establish an </w:t>
      </w:r>
      <w:r w:rsidR="00B7743D">
        <w:t xml:space="preserve">expedited </w:t>
      </w:r>
      <w:r>
        <w:t xml:space="preserve">escalation pathway to permanent removal that will </w:t>
      </w:r>
      <w:r w:rsidR="00DB0DD5">
        <w:t>harm</w:t>
      </w:r>
      <w:r>
        <w:t xml:space="preserve"> Aboriginal </w:t>
      </w:r>
      <w:r w:rsidR="00DB0DD5">
        <w:t xml:space="preserve">children and their </w:t>
      </w:r>
      <w:r>
        <w:t>families.</w:t>
      </w:r>
    </w:p>
    <w:p w14:paraId="06DB4657" w14:textId="77777777" w:rsidR="009F2577" w:rsidRDefault="00DB0DD5" w:rsidP="009B6F0E">
      <w:r>
        <w:t>The p</w:t>
      </w:r>
      <w:r w:rsidR="0042183E">
        <w:t xml:space="preserve">roposed amendments reduce the maximum duration of a short-term parental responsibility direction from 2 years to 1 year and introduce a limit of 2 short-term parental responsibility directions in relation to a child, which are again subject to the consideration of long-term stability. </w:t>
      </w:r>
    </w:p>
    <w:p w14:paraId="09DC1809" w14:textId="00CE9F4C" w:rsidR="00840576" w:rsidRDefault="00562815" w:rsidP="009B6F0E">
      <w:r>
        <w:t xml:space="preserve">The most recent available data </w:t>
      </w:r>
      <w:r w:rsidR="004D35A4">
        <w:t xml:space="preserve">shows that, </w:t>
      </w:r>
      <w:r w:rsidR="00ED2527">
        <w:t>as at</w:t>
      </w:r>
      <w:r>
        <w:t xml:space="preserve"> 30 June 202</w:t>
      </w:r>
      <w:r w:rsidR="006A682F">
        <w:t>4</w:t>
      </w:r>
      <w:r w:rsidR="004D35A4">
        <w:t>, 7</w:t>
      </w:r>
      <w:r w:rsidR="00161509">
        <w:t>3.7</w:t>
      </w:r>
      <w:r w:rsidR="004D35A4">
        <w:t>% of Aboriginal and Torres Strait Islander children in out-of-home care in the Northern Territory</w:t>
      </w:r>
      <w:r w:rsidR="00314CED">
        <w:t xml:space="preserve"> had been continuously in care for 2 years or more</w:t>
      </w:r>
      <w:r w:rsidR="00D75BE9">
        <w:t>, w</w:t>
      </w:r>
      <w:r w:rsidR="00AE5597">
        <w:t>ith</w:t>
      </w:r>
      <w:r w:rsidR="00314CED">
        <w:t xml:space="preserve"> 5</w:t>
      </w:r>
      <w:r w:rsidR="00042AFD">
        <w:t>4</w:t>
      </w:r>
      <w:r w:rsidR="00314CED">
        <w:t>.8% ha</w:t>
      </w:r>
      <w:r w:rsidR="00954F13">
        <w:t>ving</w:t>
      </w:r>
      <w:r w:rsidR="00314CED">
        <w:t xml:space="preserve"> been in care for 5 years or more.</w:t>
      </w:r>
      <w:r w:rsidR="00D75BE9">
        <w:rPr>
          <w:rStyle w:val="EndnoteReference"/>
        </w:rPr>
        <w:endnoteReference w:id="12"/>
      </w:r>
      <w:r w:rsidR="003F2080">
        <w:t xml:space="preserve"> </w:t>
      </w:r>
      <w:r w:rsidR="00E174DA">
        <w:t>Meaning that u</w:t>
      </w:r>
      <w:r w:rsidR="00986AE2" w:rsidRPr="00AB5E2D">
        <w:t xml:space="preserve">nder the proposed framework, </w:t>
      </w:r>
      <w:r w:rsidR="00832B2B" w:rsidRPr="00AB5E2D">
        <w:t>most</w:t>
      </w:r>
      <w:r w:rsidR="00986AE2" w:rsidRPr="00AB5E2D">
        <w:t xml:space="preserve"> Aboriginal and Torres Strait Islander children currently in out-of-home care in the Northern Territory would already exceed the effective timeframe for reunification</w:t>
      </w:r>
      <w:r w:rsidR="006A1FDA">
        <w:t>. They would</w:t>
      </w:r>
      <w:r w:rsidR="00D54124">
        <w:t xml:space="preserve"> likely be</w:t>
      </w:r>
      <w:r w:rsidR="00986AE2" w:rsidRPr="00AB5E2D">
        <w:t xml:space="preserve"> </w:t>
      </w:r>
      <w:r w:rsidR="00D54124" w:rsidRPr="00AB5E2D">
        <w:t>permanent</w:t>
      </w:r>
      <w:r w:rsidR="00D54124">
        <w:t>ly</w:t>
      </w:r>
      <w:r w:rsidR="00986AE2" w:rsidRPr="00AB5E2D">
        <w:t xml:space="preserve"> remov</w:t>
      </w:r>
      <w:r w:rsidR="00D54124">
        <w:t>ed from their families and communities</w:t>
      </w:r>
      <w:r w:rsidR="00986AE2" w:rsidRPr="00AB5E2D">
        <w:t>.</w:t>
      </w:r>
    </w:p>
    <w:p w14:paraId="32D4E432" w14:textId="62B96E0B" w:rsidR="00986AE2" w:rsidRDefault="00986AE2" w:rsidP="009B6F0E">
      <w:r w:rsidRPr="00986AE2">
        <w:t>This is a significant and deeply concerning outcome, particularly in the absence of evidence that the Northern Territory child protection system has the capacity to safely reunify children within shorter timeframes.</w:t>
      </w:r>
      <w:r>
        <w:t xml:space="preserve"> </w:t>
      </w:r>
      <w:r w:rsidR="00246227" w:rsidRPr="00246227">
        <w:t>Recent public reporting and stakeholder commentary has also pointed to workforce and resourcing pressures within the Northern Territory child protection system, which further contextualise these concerns.</w:t>
      </w:r>
      <w:r w:rsidR="00246227">
        <w:rPr>
          <w:rStyle w:val="EndnoteReference"/>
        </w:rPr>
        <w:endnoteReference w:id="13"/>
      </w:r>
      <w:r w:rsidR="00246227">
        <w:t xml:space="preserve"> </w:t>
      </w:r>
    </w:p>
    <w:p w14:paraId="6681DC11" w14:textId="7EBF7708" w:rsidR="009B6F0E" w:rsidRPr="009B6F0E" w:rsidRDefault="00246227" w:rsidP="009B6F0E">
      <w:r>
        <w:t xml:space="preserve">In </w:t>
      </w:r>
      <w:r w:rsidR="0098566A">
        <w:t>the most recent available data (</w:t>
      </w:r>
      <w:r w:rsidR="00ED2527">
        <w:t>as at</w:t>
      </w:r>
      <w:r w:rsidR="00587E0C">
        <w:t xml:space="preserve"> 30 June 202</w:t>
      </w:r>
      <w:r w:rsidR="00916836">
        <w:t>4</w:t>
      </w:r>
      <w:r w:rsidR="0098566A">
        <w:t>)</w:t>
      </w:r>
      <w:r w:rsidR="00587E0C">
        <w:t xml:space="preserve">, </w:t>
      </w:r>
      <w:r w:rsidR="0059011C">
        <w:t>87.2</w:t>
      </w:r>
      <w:r w:rsidR="00587E0C">
        <w:t xml:space="preserve">% </w:t>
      </w:r>
      <w:r w:rsidR="007033DC">
        <w:t xml:space="preserve">of </w:t>
      </w:r>
      <w:r w:rsidR="00124E4B">
        <w:t xml:space="preserve">First Nations </w:t>
      </w:r>
      <w:r w:rsidR="007033DC">
        <w:t>children</w:t>
      </w:r>
      <w:r w:rsidR="004C01E9">
        <w:t xml:space="preserve"> on care</w:t>
      </w:r>
      <w:r w:rsidR="00A66FB3">
        <w:t xml:space="preserve"> and protection orders</w:t>
      </w:r>
      <w:r w:rsidR="00A0309B">
        <w:t xml:space="preserve"> </w:t>
      </w:r>
      <w:r w:rsidR="001241F7">
        <w:t xml:space="preserve">in the Northern Territory </w:t>
      </w:r>
      <w:r w:rsidR="00A0309B">
        <w:t>were on</w:t>
      </w:r>
      <w:r w:rsidR="00587E0C">
        <w:t xml:space="preserve"> finalised guardianship or custody orders</w:t>
      </w:r>
      <w:r w:rsidR="00FF7D57">
        <w:t>.</w:t>
      </w:r>
      <w:r w:rsidR="00266214">
        <w:rPr>
          <w:rStyle w:val="EndnoteReference"/>
        </w:rPr>
        <w:endnoteReference w:id="14"/>
      </w:r>
      <w:r w:rsidR="008D4C33">
        <w:t xml:space="preserve"> </w:t>
      </w:r>
      <w:r w:rsidR="009B6F0E" w:rsidRPr="009B6F0E">
        <w:t xml:space="preserve">The Bill effectively </w:t>
      </w:r>
      <w:r w:rsidR="009B6F0E" w:rsidRPr="009B6F0E">
        <w:lastRenderedPageBreak/>
        <w:t>restructures the legal framework to align with an existing system orientation toward permanent removal, while reducing the ability to challenge such outcomes.</w:t>
      </w:r>
    </w:p>
    <w:p w14:paraId="11FD7EF9" w14:textId="0937BBC5" w:rsidR="0042183E" w:rsidRDefault="00342D9B" w:rsidP="0042183E">
      <w:r>
        <w:t xml:space="preserve">This Bill will result in </w:t>
      </w:r>
      <w:r w:rsidR="0042183E">
        <w:t>considerations regarding stability and permanency prevail</w:t>
      </w:r>
      <w:r>
        <w:t>ing</w:t>
      </w:r>
      <w:r w:rsidR="0042183E">
        <w:t xml:space="preserve"> over the ATSICPP. This is a serious concern</w:t>
      </w:r>
      <w:r w:rsidR="006A1FDA">
        <w:t>.</w:t>
      </w:r>
      <w:r w:rsidR="0042183E">
        <w:t xml:space="preserve"> </w:t>
      </w:r>
      <w:r w:rsidR="006A1FDA">
        <w:t>E</w:t>
      </w:r>
      <w:r w:rsidR="0042183E">
        <w:t xml:space="preserve">vidence demonstrates that even when the ATSICPP is legislated, systemic racism continues to override decisions in the child protection system. </w:t>
      </w:r>
      <w:r w:rsidR="00385451">
        <w:t>Nationally, i</w:t>
      </w:r>
      <w:r w:rsidR="0042183E">
        <w:t>n 2023–24, despite all Australian jurisdictions having legislated to prioritise placement with kin, only 47% of First Nations children entering out-of-home care were placed with relatives or kin.</w:t>
      </w:r>
      <w:r w:rsidR="0042183E">
        <w:rPr>
          <w:rStyle w:val="EndnoteReference"/>
        </w:rPr>
        <w:endnoteReference w:id="15"/>
      </w:r>
      <w:r w:rsidR="00286CBF">
        <w:t xml:space="preserve"> In </w:t>
      </w:r>
      <w:r w:rsidR="006E42C0">
        <w:t>the Northern Territory</w:t>
      </w:r>
      <w:r w:rsidR="00786DEA">
        <w:t xml:space="preserve"> (at 30 June 2024), </w:t>
      </w:r>
      <w:r w:rsidR="00286CBF">
        <w:t>this figure</w:t>
      </w:r>
      <w:r w:rsidR="00786DEA">
        <w:t xml:space="preserve"> was </w:t>
      </w:r>
      <w:r w:rsidR="00286CBF">
        <w:t xml:space="preserve">significantly lower at only </w:t>
      </w:r>
      <w:r w:rsidR="00786DEA">
        <w:t>17.5%</w:t>
      </w:r>
      <w:r w:rsidR="00286CBF">
        <w:t xml:space="preserve"> of First Nations children placed with relatives or kin</w:t>
      </w:r>
      <w:r w:rsidR="00786DEA">
        <w:t>.</w:t>
      </w:r>
      <w:r w:rsidR="00376C54">
        <w:rPr>
          <w:rStyle w:val="EndnoteReference"/>
        </w:rPr>
        <w:endnoteReference w:id="16"/>
      </w:r>
      <w:r w:rsidR="0042183E">
        <w:t xml:space="preserve"> </w:t>
      </w:r>
      <w:r w:rsidR="00275EEA" w:rsidRPr="00275EEA">
        <w:t>This disparity highlights that, particularly in the Northern Territory, embedding the ATSICPP and cultural considerations at the centre of legislation is critical to preventing the ongoing perpetuation of harm to Aboriginal and Torres Strait Islander children.</w:t>
      </w:r>
    </w:p>
    <w:p w14:paraId="44FCD3C0" w14:textId="23756253" w:rsidR="0042183E" w:rsidRDefault="0042183E" w:rsidP="0042183E">
      <w:r>
        <w:t>Stability is undeniably important for all children</w:t>
      </w:r>
      <w:r w:rsidR="00D207A4">
        <w:t xml:space="preserve"> and s</w:t>
      </w:r>
      <w:r>
        <w:t>tability through cultural connection is a critical protective factor for First Nations children and capable of buffering the effects of s</w:t>
      </w:r>
      <w:r w:rsidR="00871B35">
        <w:t>ystemic</w:t>
      </w:r>
      <w:r>
        <w:t xml:space="preserve"> disadvantage.</w:t>
      </w:r>
      <w:r>
        <w:rPr>
          <w:rStyle w:val="EndnoteReference"/>
        </w:rPr>
        <w:endnoteReference w:id="17"/>
      </w:r>
      <w:r>
        <w:t xml:space="preserve"> This must be recognised as a strength of </w:t>
      </w:r>
      <w:r w:rsidR="00C17201">
        <w:t>Aboriginal</w:t>
      </w:r>
      <w:r>
        <w:t xml:space="preserve"> communities. Research is conclusive that </w:t>
      </w:r>
      <w:r w:rsidRPr="00FE1A88">
        <w:t>protecting and strengthening</w:t>
      </w:r>
      <w:r>
        <w:t xml:space="preserve"> the</w:t>
      </w:r>
      <w:r w:rsidRPr="00FE1A88">
        <w:t xml:space="preserve"> cultural identities</w:t>
      </w:r>
      <w:r>
        <w:t xml:space="preserve"> of First Nations children</w:t>
      </w:r>
      <w:r w:rsidRPr="00FE1A88">
        <w:t xml:space="preserve"> must be a key priority for child welfare services.</w:t>
      </w:r>
      <w:r>
        <w:rPr>
          <w:rStyle w:val="EndnoteReference"/>
        </w:rPr>
        <w:endnoteReference w:id="18"/>
      </w:r>
      <w:r>
        <w:t xml:space="preserve"> This aligns with the ‘Connection’ element of the ATSICPP, which explicitly requires that </w:t>
      </w:r>
      <w:r w:rsidRPr="004B5EA8">
        <w:t>decisions relating to permanency of care do not cause harm by severing the potential for future cultural connections for Aboriginal and Torres Strait Islander children</w:t>
      </w:r>
      <w:r>
        <w:t>.</w:t>
      </w:r>
      <w:r>
        <w:rPr>
          <w:rStyle w:val="EndnoteReference"/>
        </w:rPr>
        <w:endnoteReference w:id="19"/>
      </w:r>
      <w:r>
        <w:t xml:space="preserve"> Imposing a 2-year timeframe will limit the court’s ability to make decisions</w:t>
      </w:r>
      <w:r w:rsidR="006A1FDA">
        <w:t>,</w:t>
      </w:r>
      <w:r>
        <w:t xml:space="preserve"> consistent with the ATSICPP and Australia’s international obligations under the United Nations </w:t>
      </w:r>
      <w:r w:rsidR="00AC488F">
        <w:t xml:space="preserve">Convention on the Rights of the Child and the </w:t>
      </w:r>
      <w:r>
        <w:t>Declaration on the Rights of Indigenous Peoples</w:t>
      </w:r>
      <w:r w:rsidR="006A1FDA">
        <w:t>.</w:t>
      </w:r>
      <w:r>
        <w:t xml:space="preserve"> </w:t>
      </w:r>
      <w:r w:rsidR="006A1FDA">
        <w:t>B</w:t>
      </w:r>
      <w:r>
        <w:t>oth</w:t>
      </w:r>
      <w:r w:rsidR="004847A7">
        <w:t xml:space="preserve"> </w:t>
      </w:r>
      <w:r>
        <w:t>recognise the critical importance of cultural connection.</w:t>
      </w:r>
    </w:p>
    <w:p w14:paraId="3254368E" w14:textId="63C3A2C9" w:rsidR="0042183E" w:rsidRDefault="00CD6BF1" w:rsidP="0042183E">
      <w:r w:rsidRPr="00CD6BF1">
        <w:t>The Bill provides for a 6</w:t>
      </w:r>
      <w:r w:rsidRPr="00CD6BF1">
        <w:noBreakHyphen/>
        <w:t>month period of ‘proactive’ efforts towards reunification immediately following a child’s removal, intended as an initial phase of intensified support.</w:t>
      </w:r>
      <w:r w:rsidR="004174C2">
        <w:rPr>
          <w:rStyle w:val="EndnoteReference"/>
        </w:rPr>
        <w:endnoteReference w:id="20"/>
      </w:r>
      <w:r w:rsidR="00B36D58" w:rsidRPr="00B36D58">
        <w:rPr>
          <w:rFonts w:ascii="Segoe UI" w:eastAsia="Times New Roman" w:hAnsi="Segoe UI" w:cs="Segoe UI"/>
          <w:spacing w:val="0"/>
          <w:sz w:val="21"/>
          <w:szCs w:val="21"/>
          <w:lang w:eastAsia="en-AU"/>
        </w:rPr>
        <w:t xml:space="preserve"> </w:t>
      </w:r>
      <w:r w:rsidR="00B36D58" w:rsidRPr="00B36D58">
        <w:t>This sits within a broader 2</w:t>
      </w:r>
      <w:r w:rsidR="00B36D58" w:rsidRPr="00B36D58">
        <w:noBreakHyphen/>
        <w:t>year effective cap on reunification, after which pathways to permanent care are accelerated. However, the Bill does not require that services provided during this initial ‘proactive’ phase be culturally appropriate, accessible, or delivered through Aboriginal community-controlled organisations, nor does it ensure responsiveness to structural drivers of removal such as housing insecurity and poverty.</w:t>
      </w:r>
      <w:r w:rsidR="0042183E">
        <w:t xml:space="preserve"> </w:t>
      </w:r>
      <w:r w:rsidR="00094CC2" w:rsidRPr="00094CC2">
        <w:t>Similarly, the requirement that the court assess whether reunification efforts were ‘sufficient and appropriate’ is not defined in a way that reflects the needs and circumstances of Aboriginal children.</w:t>
      </w:r>
      <w:r w:rsidR="009B6193">
        <w:rPr>
          <w:rStyle w:val="EndnoteReference"/>
        </w:rPr>
        <w:endnoteReference w:id="21"/>
      </w:r>
    </w:p>
    <w:p w14:paraId="63BDBC34" w14:textId="7C01D143" w:rsidR="0042183E" w:rsidRDefault="0007308D" w:rsidP="0042183E">
      <w:r>
        <w:t>A</w:t>
      </w:r>
      <w:r w:rsidR="0042183E">
        <w:t xml:space="preserve"> lack of appropriate services and supports is itself one of the key drivers of removals. The Senate </w:t>
      </w:r>
      <w:r w:rsidR="0042183E" w:rsidRPr="0034047B">
        <w:t>Community Affairs References Committee</w:t>
      </w:r>
      <w:r w:rsidR="0042183E">
        <w:t xml:space="preserve">’s 2015 </w:t>
      </w:r>
      <w:r w:rsidR="0042183E" w:rsidRPr="00957D34">
        <w:rPr>
          <w:i/>
          <w:iCs/>
        </w:rPr>
        <w:t>Inquiry into Out-of-Home Care</w:t>
      </w:r>
      <w:r w:rsidR="0042183E">
        <w:rPr>
          <w:i/>
          <w:iCs/>
        </w:rPr>
        <w:t xml:space="preserve"> </w:t>
      </w:r>
      <w:r w:rsidR="0042183E">
        <w:t>reported that the most significant drivers for children entering out-of-home care were socio-economic factors linked to disadvantage.</w:t>
      </w:r>
      <w:r w:rsidR="0042183E">
        <w:rPr>
          <w:rStyle w:val="EndnoteReference"/>
        </w:rPr>
        <w:endnoteReference w:id="22"/>
      </w:r>
      <w:r w:rsidR="0042183E">
        <w:t xml:space="preserve"> This is particularly </w:t>
      </w:r>
      <w:r>
        <w:t xml:space="preserve">evident </w:t>
      </w:r>
      <w:r w:rsidR="0042183E">
        <w:t xml:space="preserve">in the </w:t>
      </w:r>
      <w:r w:rsidR="00C17201">
        <w:t>extremely high</w:t>
      </w:r>
      <w:r w:rsidR="0042183E">
        <w:t xml:space="preserve"> proportion of First Nations children removed for ‘neglect’, which is closely linked to the prevalence of social disadvantage in First Nations communities. </w:t>
      </w:r>
    </w:p>
    <w:p w14:paraId="00E9EFD6" w14:textId="0206DDA0" w:rsidR="0042183E" w:rsidRDefault="0042183E" w:rsidP="0042183E">
      <w:r>
        <w:t xml:space="preserve">The Committee reported that addressing ‘neglect’ means addressing a broad range of complex social factors such as poverty, housing, and a lack of support services for vulnerable families. This includes a lack of First Nations-specific supports and supports for families with disability, who are particularly susceptible to removal. Critically, the Committee noted that </w:t>
      </w:r>
      <w:r w:rsidRPr="00B174D1">
        <w:t>addressing these social determinants is beyond the capacity of child protection authorities alone.</w:t>
      </w:r>
      <w:r>
        <w:t xml:space="preserve"> Unless these socio-economic drivers are addressed with the significant transformation of social policy and supports across the Territory that would allow child protection authorities to make necessary efforts at reunification, under the </w:t>
      </w:r>
      <w:r w:rsidR="00E06910">
        <w:t>Bill</w:t>
      </w:r>
      <w:r>
        <w:t xml:space="preserve">, many children </w:t>
      </w:r>
      <w:r w:rsidR="00E06910">
        <w:t xml:space="preserve">will be </w:t>
      </w:r>
      <w:r>
        <w:t>removed due to policy failures</w:t>
      </w:r>
      <w:r w:rsidR="00134661">
        <w:t>.</w:t>
      </w:r>
      <w:r>
        <w:t xml:space="preserve"> </w:t>
      </w:r>
      <w:r w:rsidR="00134661">
        <w:t>They would then</w:t>
      </w:r>
      <w:r>
        <w:t xml:space="preserve"> be permanently removed due to those same failures, which neither their families nor the child protection system ever had the power to change.</w:t>
      </w:r>
    </w:p>
    <w:p w14:paraId="06BBC824" w14:textId="7637E0B0" w:rsidR="000C47CD" w:rsidRDefault="000C47CD" w:rsidP="000C47CD">
      <w:pPr>
        <w:pStyle w:val="Heading2"/>
        <w:rPr>
          <w:rFonts w:eastAsia="Aptos"/>
        </w:rPr>
      </w:pPr>
      <w:r>
        <w:rPr>
          <w:rFonts w:eastAsia="Aptos"/>
        </w:rPr>
        <w:t>Family Responsibility Agreements and Orders</w:t>
      </w:r>
    </w:p>
    <w:p w14:paraId="7FADAB61" w14:textId="3B9A8937" w:rsidR="00072292" w:rsidRDefault="00072292">
      <w:r w:rsidRPr="00072292">
        <w:rPr>
          <w:rFonts w:eastAsia="Arial" w:cs="Arial"/>
          <w:color w:val="000000" w:themeColor="text1"/>
        </w:rPr>
        <w:t>Family Responsibility Agreements (FRA) and Family Responsibility Orders (FRO) introduce a framework that allows the CEO and the Court to increase parental involvement and accountability.</w:t>
      </w:r>
      <w:r>
        <w:rPr>
          <w:rStyle w:val="EndnoteReference"/>
          <w:rFonts w:eastAsia="Arial" w:cs="Arial"/>
          <w:color w:val="000000" w:themeColor="text1"/>
        </w:rPr>
        <w:endnoteReference w:id="23"/>
      </w:r>
      <w:r w:rsidRPr="00072292">
        <w:rPr>
          <w:rFonts w:eastAsia="Arial" w:cs="Arial"/>
          <w:color w:val="000000" w:themeColor="text1"/>
        </w:rPr>
        <w:t xml:space="preserve"> In practice, this framework compels compliance with CEO-directed requirements and creates a clear pathway to escalation, including the removal of a child.</w:t>
      </w:r>
    </w:p>
    <w:p w14:paraId="099B4485" w14:textId="77777777" w:rsidR="00AE7173" w:rsidRPr="00AE7173" w:rsidRDefault="00AE7173" w:rsidP="00AE7173">
      <w:pPr>
        <w:rPr>
          <w:rFonts w:eastAsia="Arial" w:cs="Arial"/>
          <w:color w:val="000000" w:themeColor="text1"/>
          <w:szCs w:val="20"/>
        </w:rPr>
      </w:pPr>
      <w:r w:rsidRPr="00AE7173">
        <w:rPr>
          <w:rFonts w:eastAsia="Arial" w:cs="Arial"/>
          <w:color w:val="000000" w:themeColor="text1"/>
          <w:szCs w:val="20"/>
        </w:rPr>
        <w:t xml:space="preserve">The CEO may require a parent to enter into a Family Responsibility Agreement where there are concerns about a child and the CEO considers the family’s circumstances have contributed or could be improved. Through </w:t>
      </w:r>
      <w:r w:rsidRPr="00AE7173">
        <w:rPr>
          <w:rFonts w:eastAsia="Arial" w:cs="Arial"/>
          <w:color w:val="000000" w:themeColor="text1"/>
          <w:szCs w:val="20"/>
        </w:rPr>
        <w:lastRenderedPageBreak/>
        <w:t>these agreements, the CEO can direct parents to engage with counselling, rehabilitation, residential programs, or parenting courses.</w:t>
      </w:r>
    </w:p>
    <w:p w14:paraId="4B0DB591" w14:textId="722ED1A6" w:rsidR="00AA3982" w:rsidRDefault="00AA3982" w:rsidP="00AA3982">
      <w:pPr>
        <w:rPr>
          <w:rFonts w:eastAsia="Arial" w:cs="Arial"/>
          <w:color w:val="000000" w:themeColor="text1"/>
          <w:szCs w:val="20"/>
        </w:rPr>
      </w:pPr>
      <w:r w:rsidRPr="00AA3982">
        <w:rPr>
          <w:rFonts w:eastAsia="Arial" w:cs="Arial"/>
          <w:color w:val="000000" w:themeColor="text1"/>
          <w:szCs w:val="20"/>
        </w:rPr>
        <w:t>If a parent refuses to enter the agreement or does not comply with its requirements, the CEO can apply to the Court for a Family Responsibility Order.</w:t>
      </w:r>
      <w:r w:rsidR="009C363D">
        <w:rPr>
          <w:rStyle w:val="EndnoteReference"/>
          <w:rFonts w:eastAsia="Arial" w:cs="Arial"/>
          <w:color w:val="000000" w:themeColor="text1"/>
          <w:szCs w:val="20"/>
        </w:rPr>
        <w:endnoteReference w:id="24"/>
      </w:r>
      <w:r w:rsidRPr="00AA3982">
        <w:rPr>
          <w:rFonts w:eastAsia="Arial" w:cs="Arial"/>
          <w:color w:val="000000" w:themeColor="text1"/>
          <w:szCs w:val="20"/>
        </w:rPr>
        <w:t xml:space="preserve"> These orders can impose behavioural requirements, income management, banned drinker orders, or housing directions, </w:t>
      </w:r>
      <w:r w:rsidRPr="006B10C3">
        <w:rPr>
          <w:rFonts w:eastAsia="Arial" w:cs="Arial"/>
          <w:color w:val="000000" w:themeColor="text1"/>
          <w:szCs w:val="20"/>
        </w:rPr>
        <w:t>placing families under coercive controls that many will be unable to meet without adequate and accessible supports</w:t>
      </w:r>
      <w:r w:rsidRPr="00AA3982">
        <w:rPr>
          <w:rFonts w:eastAsia="Arial" w:cs="Arial"/>
          <w:color w:val="000000" w:themeColor="text1"/>
          <w:szCs w:val="20"/>
        </w:rPr>
        <w:t>.</w:t>
      </w:r>
    </w:p>
    <w:p w14:paraId="71024A44" w14:textId="5A386982" w:rsidR="00AA3982" w:rsidRPr="00AA3982" w:rsidRDefault="00AA3982" w:rsidP="00AA3982">
      <w:pPr>
        <w:rPr>
          <w:rFonts w:eastAsia="Arial" w:cs="Arial"/>
          <w:color w:val="000000" w:themeColor="text1"/>
          <w:szCs w:val="20"/>
        </w:rPr>
      </w:pPr>
      <w:r w:rsidRPr="00AA3982">
        <w:rPr>
          <w:rFonts w:eastAsia="Arial" w:cs="Arial"/>
          <w:color w:val="000000" w:themeColor="text1"/>
          <w:szCs w:val="20"/>
        </w:rPr>
        <w:t>If a parent does not comply with an order</w:t>
      </w:r>
      <w:r w:rsidR="00CA3F14">
        <w:rPr>
          <w:rFonts w:eastAsia="Arial" w:cs="Arial"/>
          <w:color w:val="000000" w:themeColor="text1"/>
          <w:szCs w:val="20"/>
        </w:rPr>
        <w:t xml:space="preserve"> and</w:t>
      </w:r>
      <w:r w:rsidRPr="00AA3982">
        <w:rPr>
          <w:rFonts w:eastAsia="Arial" w:cs="Arial"/>
          <w:color w:val="000000" w:themeColor="text1"/>
          <w:szCs w:val="20"/>
        </w:rPr>
        <w:t xml:space="preserve"> the CEO</w:t>
      </w:r>
      <w:r w:rsidR="00CA3F14">
        <w:rPr>
          <w:rFonts w:eastAsia="Arial" w:cs="Arial"/>
          <w:color w:val="000000" w:themeColor="text1"/>
          <w:szCs w:val="20"/>
        </w:rPr>
        <w:t xml:space="preserve"> believes it is in the best interest of a child’s wellbeing, the CEO</w:t>
      </w:r>
      <w:r w:rsidR="002A5F4E">
        <w:rPr>
          <w:rFonts w:eastAsia="Arial" w:cs="Arial"/>
          <w:color w:val="000000" w:themeColor="text1"/>
          <w:szCs w:val="20"/>
        </w:rPr>
        <w:t xml:space="preserve"> </w:t>
      </w:r>
      <w:r w:rsidR="00CA3F14">
        <w:rPr>
          <w:rFonts w:eastAsia="Arial" w:cs="Arial"/>
          <w:color w:val="000000" w:themeColor="text1"/>
          <w:szCs w:val="20"/>
        </w:rPr>
        <w:t>must</w:t>
      </w:r>
      <w:r w:rsidRPr="00AA3982">
        <w:rPr>
          <w:rFonts w:eastAsia="Arial" w:cs="Arial"/>
          <w:color w:val="000000" w:themeColor="text1"/>
          <w:szCs w:val="20"/>
        </w:rPr>
        <w:t xml:space="preserve"> apply for a protection order</w:t>
      </w:r>
      <w:r w:rsidR="00182064">
        <w:rPr>
          <w:rFonts w:eastAsia="Arial" w:cs="Arial"/>
          <w:color w:val="000000" w:themeColor="text1"/>
          <w:szCs w:val="20"/>
        </w:rPr>
        <w:t>, which t</w:t>
      </w:r>
      <w:r w:rsidRPr="00AA3982">
        <w:rPr>
          <w:rFonts w:eastAsia="Arial" w:cs="Arial"/>
          <w:color w:val="000000" w:themeColor="text1"/>
          <w:szCs w:val="20"/>
        </w:rPr>
        <w:t>he Court can also direct the CEO to do.</w:t>
      </w:r>
      <w:r w:rsidR="00646F5F">
        <w:rPr>
          <w:rStyle w:val="EndnoteReference"/>
          <w:rFonts w:eastAsia="Arial" w:cs="Arial"/>
          <w:color w:val="000000" w:themeColor="text1"/>
          <w:szCs w:val="20"/>
        </w:rPr>
        <w:endnoteReference w:id="25"/>
      </w:r>
      <w:r w:rsidR="00A21796">
        <w:t xml:space="preserve"> </w:t>
      </w:r>
      <w:r w:rsidR="00A21796" w:rsidRPr="00A21796">
        <w:t xml:space="preserve">This creates a direct escalation pathway from non-compliance to removal, without adequately accounting for circumstances where non-compliance reflects </w:t>
      </w:r>
      <w:r w:rsidR="001812AC">
        <w:t xml:space="preserve">factors often substantially outside a family’s control such as </w:t>
      </w:r>
      <w:r w:rsidR="00A21796" w:rsidRPr="00A21796">
        <w:t>poverty, housing instability, or lack of access to services.</w:t>
      </w:r>
      <w:r w:rsidRPr="006B10C3">
        <w:rPr>
          <w:rFonts w:eastAsia="Arial" w:cs="Arial"/>
          <w:color w:val="000000" w:themeColor="text1"/>
          <w:szCs w:val="20"/>
        </w:rPr>
        <w:t xml:space="preserve"> In practice, this framework </w:t>
      </w:r>
      <w:r w:rsidR="00A21796">
        <w:rPr>
          <w:rFonts w:eastAsia="Arial" w:cs="Arial"/>
          <w:color w:val="000000" w:themeColor="text1"/>
          <w:szCs w:val="20"/>
        </w:rPr>
        <w:t>risks</w:t>
      </w:r>
      <w:r w:rsidR="00A21796" w:rsidRPr="006B10C3">
        <w:rPr>
          <w:rFonts w:eastAsia="Arial" w:cs="Arial"/>
          <w:color w:val="000000" w:themeColor="text1"/>
          <w:szCs w:val="20"/>
        </w:rPr>
        <w:t xml:space="preserve"> more</w:t>
      </w:r>
      <w:r w:rsidRPr="006B10C3">
        <w:rPr>
          <w:rFonts w:eastAsia="Arial" w:cs="Arial"/>
          <w:color w:val="000000" w:themeColor="text1"/>
          <w:szCs w:val="20"/>
        </w:rPr>
        <w:t xml:space="preserve"> children</w:t>
      </w:r>
      <w:r w:rsidR="008563FD">
        <w:rPr>
          <w:rFonts w:eastAsia="Arial" w:cs="Arial"/>
          <w:color w:val="000000" w:themeColor="text1"/>
          <w:szCs w:val="20"/>
        </w:rPr>
        <w:t xml:space="preserve"> being removed</w:t>
      </w:r>
      <w:r w:rsidRPr="006B10C3">
        <w:rPr>
          <w:rFonts w:eastAsia="Arial" w:cs="Arial"/>
          <w:color w:val="000000" w:themeColor="text1"/>
          <w:szCs w:val="20"/>
        </w:rPr>
        <w:t xml:space="preserve"> from their families and </w:t>
      </w:r>
      <w:r w:rsidR="001812AC">
        <w:rPr>
          <w:rFonts w:eastAsia="Arial" w:cs="Arial"/>
          <w:color w:val="000000" w:themeColor="text1"/>
          <w:szCs w:val="20"/>
        </w:rPr>
        <w:t>experiencing further</w:t>
      </w:r>
      <w:r w:rsidR="001812AC" w:rsidRPr="006B10C3">
        <w:rPr>
          <w:rFonts w:eastAsia="Arial" w:cs="Arial"/>
          <w:color w:val="000000" w:themeColor="text1"/>
          <w:szCs w:val="20"/>
        </w:rPr>
        <w:t xml:space="preserve"> </w:t>
      </w:r>
      <w:r w:rsidRPr="006B10C3">
        <w:rPr>
          <w:rFonts w:eastAsia="Arial" w:cs="Arial"/>
          <w:color w:val="000000" w:themeColor="text1"/>
          <w:szCs w:val="20"/>
        </w:rPr>
        <w:t xml:space="preserve">harm </w:t>
      </w:r>
      <w:r w:rsidR="003C6C75">
        <w:rPr>
          <w:rFonts w:eastAsia="Arial" w:cs="Arial"/>
          <w:color w:val="000000" w:themeColor="text1"/>
          <w:szCs w:val="20"/>
        </w:rPr>
        <w:t>due to unmet needs</w:t>
      </w:r>
      <w:r w:rsidR="0094104E">
        <w:rPr>
          <w:rFonts w:eastAsia="Arial" w:cs="Arial"/>
          <w:color w:val="000000" w:themeColor="text1"/>
          <w:szCs w:val="20"/>
        </w:rPr>
        <w:t>;</w:t>
      </w:r>
      <w:r w:rsidR="003C6C75">
        <w:rPr>
          <w:rFonts w:eastAsia="Arial" w:cs="Arial"/>
          <w:color w:val="000000" w:themeColor="text1"/>
          <w:szCs w:val="20"/>
        </w:rPr>
        <w:t xml:space="preserve"> </w:t>
      </w:r>
      <w:r w:rsidR="0094104E">
        <w:rPr>
          <w:rFonts w:eastAsia="Arial" w:cs="Arial"/>
          <w:color w:val="000000" w:themeColor="text1"/>
          <w:szCs w:val="20"/>
        </w:rPr>
        <w:t xml:space="preserve">whilst </w:t>
      </w:r>
      <w:r w:rsidR="003C6C75">
        <w:rPr>
          <w:rFonts w:eastAsia="Arial" w:cs="Arial"/>
          <w:color w:val="000000" w:themeColor="text1"/>
          <w:szCs w:val="20"/>
        </w:rPr>
        <w:t xml:space="preserve">prioritising intervention over support or prevention. </w:t>
      </w:r>
    </w:p>
    <w:p w14:paraId="523F6D19" w14:textId="4134974A" w:rsidR="2228445C" w:rsidRDefault="00B24704" w:rsidP="1F0C8837">
      <w:pPr>
        <w:rPr>
          <w:rFonts w:eastAsia="Arial" w:cs="Arial"/>
          <w:color w:val="000000" w:themeColor="text1"/>
        </w:rPr>
      </w:pPr>
      <w:r w:rsidRPr="00B24704">
        <w:rPr>
          <w:rFonts w:eastAsia="Arial" w:cs="Arial"/>
          <w:color w:val="000000" w:themeColor="text1"/>
        </w:rPr>
        <w:t>The introduction of this framework has the potential to create significant and long-term consequences for children, particularly where non-compliance results in removal and placement in out-of-home care.</w:t>
      </w:r>
      <w:r>
        <w:rPr>
          <w:rFonts w:eastAsia="Arial" w:cs="Arial"/>
          <w:color w:val="000000" w:themeColor="text1"/>
        </w:rPr>
        <w:t xml:space="preserve"> </w:t>
      </w:r>
      <w:r w:rsidR="2228445C" w:rsidRPr="33D0D471">
        <w:rPr>
          <w:rFonts w:eastAsia="Arial" w:cs="Arial"/>
          <w:color w:val="000000" w:themeColor="text1"/>
        </w:rPr>
        <w:t>For Aboriginal</w:t>
      </w:r>
      <w:r>
        <w:rPr>
          <w:rFonts w:eastAsia="Arial" w:cs="Arial"/>
          <w:color w:val="000000" w:themeColor="text1"/>
        </w:rPr>
        <w:t xml:space="preserve"> and Torres Strait Islander</w:t>
      </w:r>
      <w:r w:rsidR="2228445C" w:rsidRPr="33D0D471">
        <w:rPr>
          <w:rFonts w:eastAsia="Arial" w:cs="Arial"/>
          <w:color w:val="000000" w:themeColor="text1"/>
        </w:rPr>
        <w:t xml:space="preserve"> children, who are already </w:t>
      </w:r>
      <w:r w:rsidR="2228445C" w:rsidRPr="7057487C">
        <w:rPr>
          <w:rFonts w:eastAsia="Arial" w:cs="Arial"/>
          <w:color w:val="000000" w:themeColor="text1"/>
        </w:rPr>
        <w:t>overrepresented</w:t>
      </w:r>
      <w:r w:rsidR="2228445C" w:rsidRPr="33D0D471">
        <w:rPr>
          <w:rFonts w:eastAsia="Arial" w:cs="Arial"/>
          <w:color w:val="000000" w:themeColor="text1"/>
        </w:rPr>
        <w:t xml:space="preserve"> in the out</w:t>
      </w:r>
      <w:r w:rsidR="00D64821">
        <w:rPr>
          <w:rFonts w:eastAsia="Arial" w:cs="Arial"/>
          <w:color w:val="000000" w:themeColor="text1"/>
        </w:rPr>
        <w:t>-</w:t>
      </w:r>
      <w:r w:rsidR="2228445C" w:rsidRPr="33D0D471">
        <w:rPr>
          <w:rFonts w:eastAsia="Arial" w:cs="Arial"/>
          <w:color w:val="000000" w:themeColor="text1"/>
        </w:rPr>
        <w:t>of</w:t>
      </w:r>
      <w:r w:rsidR="00D64821">
        <w:rPr>
          <w:rFonts w:eastAsia="Arial" w:cs="Arial"/>
          <w:color w:val="000000" w:themeColor="text1"/>
        </w:rPr>
        <w:t>-</w:t>
      </w:r>
      <w:r w:rsidR="2228445C" w:rsidRPr="33D0D471">
        <w:rPr>
          <w:rFonts w:eastAsia="Arial" w:cs="Arial"/>
          <w:color w:val="000000" w:themeColor="text1"/>
        </w:rPr>
        <w:t xml:space="preserve">home care system, the risk of harm </w:t>
      </w:r>
      <w:r w:rsidR="2228445C" w:rsidRPr="2BAA3D83">
        <w:rPr>
          <w:rFonts w:eastAsia="Arial" w:cs="Arial"/>
          <w:color w:val="000000" w:themeColor="text1"/>
        </w:rPr>
        <w:t>caused by removal</w:t>
      </w:r>
      <w:r w:rsidR="2228445C" w:rsidRPr="33D0D471">
        <w:rPr>
          <w:rFonts w:eastAsia="Arial" w:cs="Arial"/>
          <w:color w:val="000000" w:themeColor="text1"/>
        </w:rPr>
        <w:t xml:space="preserve"> is elevated under the proposed amendments to the ATSICPP, which disrupt</w:t>
      </w:r>
      <w:r w:rsidR="00DE6360">
        <w:rPr>
          <w:rFonts w:eastAsia="Arial" w:cs="Arial"/>
          <w:color w:val="000000" w:themeColor="text1"/>
        </w:rPr>
        <w:t>s</w:t>
      </w:r>
      <w:r w:rsidR="2228445C" w:rsidRPr="33D0D471">
        <w:rPr>
          <w:rFonts w:eastAsia="Arial" w:cs="Arial"/>
          <w:color w:val="000000" w:themeColor="text1"/>
        </w:rPr>
        <w:t xml:space="preserve"> a child's connection to kin, community, culture or </w:t>
      </w:r>
      <w:r w:rsidR="2228445C" w:rsidRPr="008A4455">
        <w:rPr>
          <w:rFonts w:eastAsia="Arial" w:cs="Arial"/>
          <w:color w:val="000000" w:themeColor="text1"/>
        </w:rPr>
        <w:t>Country.</w:t>
      </w:r>
    </w:p>
    <w:p w14:paraId="358F1518" w14:textId="004ADFD1" w:rsidR="2228445C" w:rsidRDefault="00646F5F" w:rsidP="000A3595">
      <w:pPr>
        <w:rPr>
          <w:rFonts w:eastAsia="Arial" w:cs="Arial"/>
          <w:color w:val="000000" w:themeColor="text1"/>
        </w:rPr>
      </w:pPr>
      <w:r>
        <w:rPr>
          <w:rFonts w:eastAsia="Arial" w:cs="Arial"/>
          <w:color w:val="000000" w:themeColor="text1"/>
        </w:rPr>
        <w:t xml:space="preserve">The proposed amendments also </w:t>
      </w:r>
      <w:r w:rsidR="00D65EE3">
        <w:rPr>
          <w:rFonts w:eastAsia="Arial" w:cs="Arial"/>
          <w:color w:val="000000" w:themeColor="text1"/>
        </w:rPr>
        <w:t>enable</w:t>
      </w:r>
      <w:r w:rsidR="00D65EE3" w:rsidRPr="5CDBF1FD">
        <w:rPr>
          <w:rFonts w:eastAsia="Arial" w:cs="Arial"/>
          <w:color w:val="000000" w:themeColor="text1"/>
        </w:rPr>
        <w:t xml:space="preserve"> </w:t>
      </w:r>
      <w:r w:rsidR="2228445C" w:rsidRPr="5CDBF1FD">
        <w:rPr>
          <w:rFonts w:eastAsia="Arial" w:cs="Arial"/>
          <w:color w:val="000000" w:themeColor="text1"/>
        </w:rPr>
        <w:t xml:space="preserve">Police officers </w:t>
      </w:r>
      <w:r w:rsidR="00D65EE3">
        <w:rPr>
          <w:rFonts w:eastAsia="Arial" w:cs="Arial"/>
          <w:color w:val="000000" w:themeColor="text1"/>
        </w:rPr>
        <w:t>to</w:t>
      </w:r>
      <w:r w:rsidR="00D65EE3" w:rsidRPr="5CDBF1FD">
        <w:rPr>
          <w:rFonts w:eastAsia="Arial" w:cs="Arial"/>
          <w:color w:val="000000" w:themeColor="text1"/>
        </w:rPr>
        <w:t xml:space="preserve"> </w:t>
      </w:r>
      <w:r w:rsidR="2228445C" w:rsidRPr="5CDBF1FD">
        <w:rPr>
          <w:rFonts w:eastAsia="Arial" w:cs="Arial"/>
          <w:color w:val="000000" w:themeColor="text1"/>
        </w:rPr>
        <w:t>make referrals to the CEO for an FRA or FRO after a finding by a Court that a child cannot be held criminally responsible for an offence.</w:t>
      </w:r>
      <w:r>
        <w:rPr>
          <w:rStyle w:val="EndnoteReference"/>
          <w:rFonts w:eastAsia="Arial" w:cs="Arial"/>
          <w:color w:val="000000" w:themeColor="text1"/>
        </w:rPr>
        <w:endnoteReference w:id="26"/>
      </w:r>
      <w:r w:rsidR="2228445C" w:rsidRPr="5CDBF1FD">
        <w:rPr>
          <w:rFonts w:eastAsia="Arial" w:cs="Arial"/>
          <w:color w:val="000000" w:themeColor="text1"/>
        </w:rPr>
        <w:t xml:space="preserve"> The Bill’s explanatory statement openly describes the purpose of this provision as intended to ‘capture’ a cohort of children and families who cannot be engaged under the </w:t>
      </w:r>
      <w:r w:rsidR="2228445C" w:rsidRPr="5CDBF1FD">
        <w:rPr>
          <w:rFonts w:eastAsia="Arial" w:cs="Arial"/>
          <w:i/>
          <w:color w:val="000000" w:themeColor="text1"/>
        </w:rPr>
        <w:t xml:space="preserve">Youth Justice Act 2005 </w:t>
      </w:r>
      <w:r w:rsidRPr="5CDBF1FD">
        <w:rPr>
          <w:rFonts w:eastAsia="Arial" w:cs="Arial"/>
          <w:color w:val="000000" w:themeColor="text1"/>
        </w:rPr>
        <w:t>and</w:t>
      </w:r>
      <w:r w:rsidR="2228445C" w:rsidRPr="5CDBF1FD">
        <w:rPr>
          <w:rFonts w:eastAsia="Arial" w:cs="Arial"/>
          <w:color w:val="000000" w:themeColor="text1"/>
        </w:rPr>
        <w:t xml:space="preserve"> do not reach the threshold to compel statutory child protection intervention. </w:t>
      </w:r>
      <w:r w:rsidR="00E51018" w:rsidRPr="00E51018">
        <w:rPr>
          <w:rFonts w:eastAsia="Arial" w:cs="Arial"/>
          <w:color w:val="000000" w:themeColor="text1"/>
        </w:rPr>
        <w:t>This provision repurposes a protective legal finding into a trigger for coercive intervention, extending state control into circumstances where neither criminal nor child protection thresholds are otherwise met.</w:t>
      </w:r>
      <w:r w:rsidR="00E51018">
        <w:rPr>
          <w:rFonts w:eastAsia="Arial" w:cs="Arial"/>
          <w:color w:val="000000" w:themeColor="text1"/>
        </w:rPr>
        <w:t xml:space="preserve"> </w:t>
      </w:r>
      <w:r w:rsidR="2228445C" w:rsidRPr="5CDBF1FD">
        <w:rPr>
          <w:rFonts w:eastAsia="Arial" w:cs="Arial"/>
          <w:color w:val="000000" w:themeColor="text1"/>
        </w:rPr>
        <w:t>Th</w:t>
      </w:r>
      <w:r w:rsidR="00EC475F">
        <w:rPr>
          <w:rFonts w:eastAsia="Arial" w:cs="Arial"/>
          <w:color w:val="000000" w:themeColor="text1"/>
        </w:rPr>
        <w:t xml:space="preserve">is is </w:t>
      </w:r>
      <w:r w:rsidR="0012194A">
        <w:rPr>
          <w:rFonts w:eastAsia="Arial" w:cs="Arial"/>
          <w:color w:val="000000" w:themeColor="text1"/>
        </w:rPr>
        <w:t xml:space="preserve">neither </w:t>
      </w:r>
      <w:r w:rsidR="0012194A" w:rsidRPr="5CDBF1FD">
        <w:rPr>
          <w:rFonts w:eastAsia="Arial" w:cs="Arial"/>
          <w:color w:val="000000" w:themeColor="text1"/>
        </w:rPr>
        <w:t>early</w:t>
      </w:r>
      <w:r w:rsidR="2228445C" w:rsidRPr="5CDBF1FD">
        <w:rPr>
          <w:rFonts w:eastAsia="Arial" w:cs="Arial"/>
          <w:color w:val="000000" w:themeColor="text1"/>
        </w:rPr>
        <w:t xml:space="preserve"> intervention </w:t>
      </w:r>
      <w:r w:rsidR="00EC475F">
        <w:rPr>
          <w:rFonts w:eastAsia="Arial" w:cs="Arial"/>
          <w:color w:val="000000" w:themeColor="text1"/>
        </w:rPr>
        <w:t>n</w:t>
      </w:r>
      <w:r w:rsidR="2228445C" w:rsidRPr="5CDBF1FD">
        <w:rPr>
          <w:rFonts w:eastAsia="Arial" w:cs="Arial"/>
          <w:color w:val="000000" w:themeColor="text1"/>
        </w:rPr>
        <w:t>or suppor</w:t>
      </w:r>
      <w:r w:rsidR="00EC475F">
        <w:rPr>
          <w:rFonts w:eastAsia="Arial" w:cs="Arial"/>
          <w:color w:val="000000" w:themeColor="text1"/>
        </w:rPr>
        <w:t xml:space="preserve">t, </w:t>
      </w:r>
      <w:r w:rsidR="2228445C" w:rsidRPr="5CDBF1FD">
        <w:rPr>
          <w:rFonts w:eastAsia="Arial" w:cs="Arial"/>
          <w:color w:val="000000" w:themeColor="text1"/>
        </w:rPr>
        <w:t>it circumvent</w:t>
      </w:r>
      <w:r w:rsidR="005E5064">
        <w:rPr>
          <w:rFonts w:eastAsia="Arial" w:cs="Arial"/>
          <w:color w:val="000000" w:themeColor="text1"/>
        </w:rPr>
        <w:t>s</w:t>
      </w:r>
      <w:r w:rsidR="2228445C" w:rsidRPr="5CDBF1FD">
        <w:rPr>
          <w:rFonts w:eastAsia="Arial" w:cs="Arial"/>
          <w:color w:val="000000" w:themeColor="text1"/>
        </w:rPr>
        <w:t xml:space="preserve"> the established limits of both the child protection and youth justice systems.</w:t>
      </w:r>
      <w:r w:rsidR="000A3595">
        <w:rPr>
          <w:rStyle w:val="EndnoteReference"/>
          <w:rFonts w:eastAsia="Arial" w:cs="Arial"/>
          <w:color w:val="000000" w:themeColor="text1"/>
        </w:rPr>
        <w:endnoteReference w:id="27"/>
      </w:r>
      <w:r w:rsidR="000A3595">
        <w:rPr>
          <w:rFonts w:eastAsia="Arial" w:cs="Arial"/>
          <w:color w:val="000000" w:themeColor="text1"/>
        </w:rPr>
        <w:t xml:space="preserve"> </w:t>
      </w:r>
    </w:p>
    <w:p w14:paraId="1BA61AFA" w14:textId="6F819049" w:rsidR="008621DA" w:rsidRPr="008621DA" w:rsidRDefault="008621DA" w:rsidP="008621DA">
      <w:pPr>
        <w:rPr>
          <w:rFonts w:eastAsia="Arial" w:cs="Arial"/>
          <w:color w:val="000000" w:themeColor="text1"/>
        </w:rPr>
      </w:pPr>
      <w:r w:rsidRPr="008621DA">
        <w:rPr>
          <w:rFonts w:eastAsia="Arial" w:cs="Arial"/>
          <w:color w:val="000000" w:themeColor="text1"/>
        </w:rPr>
        <w:t>The Bill also expands the CEO’s power to make inquiries based on broad and undefined wellbeing concerns, even where no statutory threshold has been met.</w:t>
      </w:r>
      <w:r>
        <w:rPr>
          <w:rStyle w:val="EndnoteReference"/>
          <w:rFonts w:eastAsia="Arial" w:cs="Arial"/>
          <w:color w:val="000000" w:themeColor="text1"/>
        </w:rPr>
        <w:endnoteReference w:id="28"/>
      </w:r>
      <w:r w:rsidRPr="008621DA">
        <w:rPr>
          <w:rFonts w:eastAsia="Arial" w:cs="Arial"/>
          <w:color w:val="000000" w:themeColor="text1"/>
        </w:rPr>
        <w:t xml:space="preserve"> This creates a risk of increased surveillance and discretionary intervention, with the potential to entrench systemic bias and draw more Aboriginal families into the system without clear safeguards.</w:t>
      </w:r>
    </w:p>
    <w:p w14:paraId="2485BA87" w14:textId="5FB7C5F6" w:rsidR="002C2C11" w:rsidRDefault="005868AF" w:rsidP="1F0C8837">
      <w:pPr>
        <w:rPr>
          <w:rFonts w:eastAsia="Arial" w:cs="Arial"/>
          <w:color w:val="000000" w:themeColor="text1"/>
        </w:rPr>
      </w:pPr>
      <w:r>
        <w:rPr>
          <w:rFonts w:eastAsia="Arial" w:cs="Arial"/>
          <w:color w:val="000000" w:themeColor="text1"/>
        </w:rPr>
        <w:t>The National Commission is concerned that</w:t>
      </w:r>
      <w:r w:rsidR="001956CA">
        <w:rPr>
          <w:rFonts w:eastAsia="Arial" w:cs="Arial"/>
          <w:color w:val="000000" w:themeColor="text1"/>
        </w:rPr>
        <w:t xml:space="preserve"> </w:t>
      </w:r>
      <w:r w:rsidR="00980B50">
        <w:rPr>
          <w:rFonts w:eastAsia="Arial" w:cs="Arial"/>
          <w:color w:val="000000" w:themeColor="text1"/>
        </w:rPr>
        <w:t>t</w:t>
      </w:r>
      <w:r w:rsidR="00980B50" w:rsidRPr="00980B50">
        <w:rPr>
          <w:rFonts w:eastAsia="Arial" w:cs="Arial"/>
          <w:color w:val="000000" w:themeColor="text1"/>
        </w:rPr>
        <w:t>he framework does not address the structural drivers of child protection involvement, including poverty, housing insecurity and limited access to services. Instead, it places responsibility on parents to comply with requirements that may not be achievable in the absence of appropriate and accessible supports.</w:t>
      </w:r>
      <w:r w:rsidR="0033160D">
        <w:rPr>
          <w:rFonts w:eastAsia="Arial" w:cs="Arial"/>
          <w:color w:val="000000" w:themeColor="text1"/>
        </w:rPr>
        <w:t xml:space="preserve"> W</w:t>
      </w:r>
      <w:r w:rsidR="0033160D" w:rsidRPr="5CDBF1FD">
        <w:rPr>
          <w:rFonts w:eastAsia="Arial" w:cs="Arial"/>
          <w:color w:val="000000" w:themeColor="text1"/>
        </w:rPr>
        <w:t xml:space="preserve">ithout genuine support and culturally appropriate, accessible services, this provision will only increase the risk of </w:t>
      </w:r>
      <w:r w:rsidR="00A13A1E">
        <w:rPr>
          <w:rFonts w:eastAsia="Arial" w:cs="Arial"/>
          <w:color w:val="000000" w:themeColor="text1"/>
        </w:rPr>
        <w:t xml:space="preserve">preventable </w:t>
      </w:r>
      <w:r w:rsidR="0033160D" w:rsidRPr="5CDBF1FD">
        <w:rPr>
          <w:rFonts w:eastAsia="Arial" w:cs="Arial"/>
          <w:color w:val="000000" w:themeColor="text1"/>
        </w:rPr>
        <w:t>interaction with these systems.</w:t>
      </w:r>
      <w:r w:rsidR="00944E17">
        <w:rPr>
          <w:rFonts w:eastAsia="Arial" w:cs="Arial"/>
          <w:color w:val="000000" w:themeColor="text1"/>
        </w:rPr>
        <w:t xml:space="preserve"> </w:t>
      </w:r>
      <w:r w:rsidR="2228445C" w:rsidRPr="5CDBF1FD">
        <w:rPr>
          <w:rFonts w:eastAsia="Arial" w:cs="Arial"/>
          <w:color w:val="000000" w:themeColor="text1"/>
        </w:rPr>
        <w:t xml:space="preserve"> </w:t>
      </w:r>
    </w:p>
    <w:p w14:paraId="7C443BF3" w14:textId="1ADB7567" w:rsidR="006B10C3" w:rsidRDefault="00CC078B" w:rsidP="00ED1845">
      <w:pPr>
        <w:rPr>
          <w:rFonts w:eastAsia="Arial" w:cs="Arial"/>
          <w:color w:val="000000" w:themeColor="text1"/>
        </w:rPr>
      </w:pPr>
      <w:r>
        <w:rPr>
          <w:rFonts w:eastAsia="Arial" w:cs="Arial"/>
          <w:color w:val="000000" w:themeColor="text1"/>
        </w:rPr>
        <w:t>T</w:t>
      </w:r>
      <w:r w:rsidR="00975B33">
        <w:rPr>
          <w:rFonts w:eastAsia="Arial" w:cs="Arial"/>
          <w:color w:val="000000" w:themeColor="text1"/>
        </w:rPr>
        <w:t>hrough the Bill’s amendments</w:t>
      </w:r>
      <w:r w:rsidR="2228445C" w:rsidRPr="5CDBF1FD">
        <w:rPr>
          <w:rFonts w:eastAsia="Arial" w:cs="Arial"/>
          <w:color w:val="000000" w:themeColor="text1"/>
        </w:rPr>
        <w:t xml:space="preserve">, the CEO must ensure the facilities or services required under the agreement are ‘reasonably available’, </w:t>
      </w:r>
      <w:r w:rsidR="0E49C25E" w:rsidRPr="1803721C">
        <w:rPr>
          <w:rFonts w:eastAsia="Arial" w:cs="Arial"/>
          <w:color w:val="000000" w:themeColor="text1"/>
        </w:rPr>
        <w:t xml:space="preserve">which </w:t>
      </w:r>
      <w:r w:rsidR="0E49C25E" w:rsidRPr="1F5BABCA">
        <w:rPr>
          <w:rFonts w:eastAsia="Arial" w:cs="Arial"/>
          <w:color w:val="000000" w:themeColor="text1"/>
        </w:rPr>
        <w:t xml:space="preserve">places </w:t>
      </w:r>
      <w:r w:rsidR="0E49C25E" w:rsidRPr="3845EFF0">
        <w:rPr>
          <w:rFonts w:eastAsia="Arial" w:cs="Arial"/>
          <w:color w:val="000000" w:themeColor="text1"/>
        </w:rPr>
        <w:t xml:space="preserve">sole </w:t>
      </w:r>
      <w:r w:rsidR="0E49C25E" w:rsidRPr="16B65B23">
        <w:rPr>
          <w:rFonts w:eastAsia="Arial" w:cs="Arial"/>
          <w:color w:val="000000" w:themeColor="text1"/>
        </w:rPr>
        <w:t xml:space="preserve">responsibility </w:t>
      </w:r>
      <w:r w:rsidR="0E49C25E" w:rsidRPr="01E35876">
        <w:rPr>
          <w:rFonts w:eastAsia="Arial" w:cs="Arial"/>
          <w:color w:val="000000" w:themeColor="text1"/>
        </w:rPr>
        <w:t xml:space="preserve">with </w:t>
      </w:r>
      <w:r w:rsidR="0E49C25E" w:rsidRPr="1162D467">
        <w:rPr>
          <w:rFonts w:eastAsia="Arial" w:cs="Arial"/>
          <w:color w:val="000000" w:themeColor="text1"/>
        </w:rPr>
        <w:t xml:space="preserve">the </w:t>
      </w:r>
      <w:r w:rsidR="2228445C" w:rsidRPr="1162D467">
        <w:rPr>
          <w:rFonts w:eastAsia="Arial" w:cs="Arial"/>
          <w:color w:val="000000" w:themeColor="text1"/>
        </w:rPr>
        <w:t>CEO</w:t>
      </w:r>
      <w:r w:rsidR="2228445C" w:rsidRPr="5CDBF1FD">
        <w:rPr>
          <w:rFonts w:eastAsia="Arial" w:cs="Arial"/>
          <w:color w:val="000000" w:themeColor="text1"/>
        </w:rPr>
        <w:t xml:space="preserve"> </w:t>
      </w:r>
      <w:r w:rsidR="517C5328" w:rsidRPr="17474E63">
        <w:rPr>
          <w:rFonts w:eastAsia="Arial" w:cs="Arial"/>
          <w:color w:val="000000" w:themeColor="text1"/>
        </w:rPr>
        <w:t xml:space="preserve">to </w:t>
      </w:r>
      <w:r w:rsidR="2228445C" w:rsidRPr="4070A1E6">
        <w:rPr>
          <w:rFonts w:eastAsia="Arial" w:cs="Arial"/>
          <w:color w:val="000000" w:themeColor="text1"/>
        </w:rPr>
        <w:t>defin</w:t>
      </w:r>
      <w:r w:rsidR="3ACC3796" w:rsidRPr="4070A1E6">
        <w:rPr>
          <w:rFonts w:eastAsia="Arial" w:cs="Arial"/>
          <w:color w:val="000000" w:themeColor="text1"/>
        </w:rPr>
        <w:t>e</w:t>
      </w:r>
      <w:r w:rsidR="2228445C" w:rsidRPr="5CDBF1FD">
        <w:rPr>
          <w:rFonts w:eastAsia="Arial" w:cs="Arial"/>
          <w:color w:val="000000" w:themeColor="text1"/>
        </w:rPr>
        <w:t xml:space="preserve"> those parameters.</w:t>
      </w:r>
      <w:r w:rsidR="00975B33">
        <w:rPr>
          <w:rStyle w:val="EndnoteReference"/>
          <w:rFonts w:eastAsia="Arial" w:cs="Arial"/>
          <w:color w:val="000000" w:themeColor="text1"/>
        </w:rPr>
        <w:endnoteReference w:id="29"/>
      </w:r>
      <w:r w:rsidR="2228445C" w:rsidRPr="5CDBF1FD">
        <w:rPr>
          <w:rFonts w:eastAsia="Arial" w:cs="Arial"/>
          <w:color w:val="000000" w:themeColor="text1"/>
        </w:rPr>
        <w:t xml:space="preserve"> </w:t>
      </w:r>
      <w:r w:rsidR="2228445C" w:rsidRPr="776E997D">
        <w:rPr>
          <w:rFonts w:eastAsia="Arial" w:cs="Arial"/>
          <w:color w:val="000000" w:themeColor="text1"/>
        </w:rPr>
        <w:t>There is</w:t>
      </w:r>
      <w:r w:rsidR="00254291">
        <w:rPr>
          <w:rFonts w:eastAsia="Arial" w:cs="Arial"/>
          <w:color w:val="000000" w:themeColor="text1"/>
        </w:rPr>
        <w:t xml:space="preserve"> no</w:t>
      </w:r>
      <w:r w:rsidR="2228445C" w:rsidRPr="776E997D">
        <w:rPr>
          <w:rFonts w:eastAsia="Arial" w:cs="Arial"/>
          <w:color w:val="000000" w:themeColor="text1"/>
        </w:rPr>
        <w:t xml:space="preserve"> </w:t>
      </w:r>
      <w:r w:rsidR="2213DDFB" w:rsidRPr="776E997D">
        <w:rPr>
          <w:rFonts w:eastAsia="Arial" w:cs="Arial"/>
          <w:color w:val="000000" w:themeColor="text1"/>
        </w:rPr>
        <w:t xml:space="preserve">acknowledgment </w:t>
      </w:r>
      <w:r w:rsidR="2228445C" w:rsidRPr="776E997D">
        <w:rPr>
          <w:rFonts w:eastAsia="Arial" w:cs="Arial"/>
          <w:color w:val="000000" w:themeColor="text1"/>
        </w:rPr>
        <w:t>of</w:t>
      </w:r>
      <w:r w:rsidR="2228445C" w:rsidRPr="5CDBF1FD">
        <w:rPr>
          <w:rFonts w:eastAsia="Arial" w:cs="Arial"/>
          <w:color w:val="000000" w:themeColor="text1"/>
        </w:rPr>
        <w:t xml:space="preserve"> the added complexities or barriers faced by Aboriginal and Torres Strait Islander people when it comes to accessing culturally appropriate services,</w:t>
      </w:r>
      <w:r w:rsidR="70C63C3D" w:rsidRPr="1008BDB0">
        <w:rPr>
          <w:rFonts w:eastAsia="Arial" w:cs="Arial"/>
          <w:color w:val="000000" w:themeColor="text1"/>
        </w:rPr>
        <w:t xml:space="preserve"> or </w:t>
      </w:r>
      <w:r w:rsidR="70C63C3D" w:rsidRPr="2D51F360">
        <w:rPr>
          <w:rFonts w:eastAsia="Arial" w:cs="Arial"/>
          <w:color w:val="000000" w:themeColor="text1"/>
        </w:rPr>
        <w:t xml:space="preserve">clauses to </w:t>
      </w:r>
      <w:r w:rsidR="70C63C3D" w:rsidRPr="74457487">
        <w:rPr>
          <w:rFonts w:eastAsia="Arial" w:cs="Arial"/>
          <w:color w:val="000000" w:themeColor="text1"/>
        </w:rPr>
        <w:t xml:space="preserve">safeguard </w:t>
      </w:r>
      <w:r w:rsidR="70C63C3D" w:rsidRPr="58B78640">
        <w:rPr>
          <w:rFonts w:eastAsia="Arial" w:cs="Arial"/>
          <w:color w:val="000000" w:themeColor="text1"/>
        </w:rPr>
        <w:t xml:space="preserve">family’s </w:t>
      </w:r>
      <w:r w:rsidR="70C63C3D" w:rsidRPr="30786490">
        <w:rPr>
          <w:rFonts w:eastAsia="Arial" w:cs="Arial"/>
          <w:color w:val="000000" w:themeColor="text1"/>
        </w:rPr>
        <w:t xml:space="preserve">access </w:t>
      </w:r>
      <w:r w:rsidR="70C63C3D" w:rsidRPr="5F51ECC5">
        <w:rPr>
          <w:rFonts w:eastAsia="Arial" w:cs="Arial"/>
          <w:color w:val="000000" w:themeColor="text1"/>
        </w:rPr>
        <w:t xml:space="preserve">to </w:t>
      </w:r>
      <w:r w:rsidR="70C63C3D" w:rsidRPr="56616988">
        <w:rPr>
          <w:rFonts w:eastAsia="Arial" w:cs="Arial"/>
          <w:color w:val="000000" w:themeColor="text1"/>
        </w:rPr>
        <w:t xml:space="preserve">appropriate </w:t>
      </w:r>
      <w:r w:rsidR="70C63C3D" w:rsidRPr="71376A0A">
        <w:rPr>
          <w:rFonts w:eastAsia="Arial" w:cs="Arial"/>
          <w:color w:val="000000" w:themeColor="text1"/>
        </w:rPr>
        <w:t>services.</w:t>
      </w:r>
      <w:r w:rsidR="2228445C" w:rsidRPr="5CDBF1FD">
        <w:rPr>
          <w:rFonts w:eastAsia="Arial" w:cs="Arial"/>
          <w:color w:val="000000" w:themeColor="text1"/>
        </w:rPr>
        <w:t xml:space="preserve"> </w:t>
      </w:r>
    </w:p>
    <w:p w14:paraId="20A47916" w14:textId="1B97C1BD" w:rsidR="00B35B04" w:rsidRDefault="2228445C" w:rsidP="00ED1845">
      <w:pPr>
        <w:rPr>
          <w:rFonts w:eastAsia="Arial" w:cs="Arial"/>
          <w:color w:val="000000" w:themeColor="text1"/>
        </w:rPr>
      </w:pPr>
      <w:r w:rsidRPr="5CDBF1FD">
        <w:rPr>
          <w:rFonts w:eastAsia="Arial" w:cs="Arial"/>
          <w:color w:val="000000" w:themeColor="text1"/>
        </w:rPr>
        <w:t>Some of the compliance orders outlined under the FRO provision, mirror historic polic</w:t>
      </w:r>
      <w:r w:rsidR="00C323DF">
        <w:rPr>
          <w:rFonts w:eastAsia="Arial" w:cs="Arial"/>
          <w:color w:val="000000" w:themeColor="text1"/>
        </w:rPr>
        <w:t>i</w:t>
      </w:r>
      <w:r w:rsidRPr="5CDBF1FD">
        <w:rPr>
          <w:rFonts w:eastAsia="Arial" w:cs="Arial"/>
          <w:color w:val="000000" w:themeColor="text1"/>
        </w:rPr>
        <w:t xml:space="preserve">es characterised by </w:t>
      </w:r>
      <w:r w:rsidR="00A13A1E">
        <w:rPr>
          <w:rFonts w:eastAsia="Arial" w:cs="Arial"/>
          <w:color w:val="000000" w:themeColor="text1"/>
        </w:rPr>
        <w:t xml:space="preserve">control, coercion and removal, and consequently </w:t>
      </w:r>
      <w:r w:rsidR="00A13A1E">
        <w:t>will replicate long-standing failures to protect Aboriginal children in the Northern Territory</w:t>
      </w:r>
      <w:r w:rsidRPr="5CDBF1FD">
        <w:rPr>
          <w:rFonts w:eastAsia="Arial" w:cs="Arial"/>
          <w:color w:val="000000" w:themeColor="text1"/>
        </w:rPr>
        <w:t>.</w:t>
      </w:r>
      <w:r w:rsidR="006B10C3">
        <w:rPr>
          <w:rFonts w:eastAsia="Arial" w:cs="Arial"/>
          <w:color w:val="000000" w:themeColor="text1"/>
        </w:rPr>
        <w:t xml:space="preserve"> </w:t>
      </w:r>
      <w:r w:rsidR="006E3A86" w:rsidRPr="5CDBF1FD">
        <w:rPr>
          <w:rFonts w:eastAsia="Arial" w:cs="Arial"/>
          <w:color w:val="000000" w:themeColor="text1"/>
        </w:rPr>
        <w:t xml:space="preserve">Forced compliance with behavioural standards, income management and banned drinker orders are particularly reflective of punitive policies </w:t>
      </w:r>
      <w:r w:rsidR="006E3A86">
        <w:rPr>
          <w:rFonts w:eastAsia="Arial" w:cs="Arial"/>
          <w:color w:val="000000" w:themeColor="text1"/>
        </w:rPr>
        <w:t xml:space="preserve">implemented under the Northern Territory Emergency Response. These policies enabled targeted control over Aboriginal communities with no evidence to support how they improved </w:t>
      </w:r>
      <w:r w:rsidR="006E3A86" w:rsidRPr="7828DF03">
        <w:rPr>
          <w:rFonts w:eastAsia="Arial" w:cs="Arial"/>
          <w:color w:val="000000" w:themeColor="text1"/>
        </w:rPr>
        <w:t>safety</w:t>
      </w:r>
      <w:r w:rsidR="006E3A86" w:rsidRPr="5CDBF1FD">
        <w:rPr>
          <w:rFonts w:eastAsia="Arial" w:cs="Arial"/>
          <w:color w:val="000000" w:themeColor="text1"/>
        </w:rPr>
        <w:t xml:space="preserve"> </w:t>
      </w:r>
      <w:r w:rsidR="006E3A86">
        <w:rPr>
          <w:rFonts w:eastAsia="Arial" w:cs="Arial"/>
          <w:color w:val="000000" w:themeColor="text1"/>
        </w:rPr>
        <w:t>and wellbeing or</w:t>
      </w:r>
      <w:r w:rsidR="006E3A86" w:rsidRPr="5CDBF1FD">
        <w:rPr>
          <w:rFonts w:eastAsia="Arial" w:cs="Arial"/>
          <w:color w:val="000000" w:themeColor="text1"/>
        </w:rPr>
        <w:t xml:space="preserve"> </w:t>
      </w:r>
      <w:r w:rsidR="006E3A86">
        <w:rPr>
          <w:rFonts w:eastAsia="Arial" w:cs="Arial"/>
          <w:color w:val="000000" w:themeColor="text1"/>
        </w:rPr>
        <w:t xml:space="preserve">addressed </w:t>
      </w:r>
      <w:r w:rsidR="006E3A86" w:rsidRPr="5CDBF1FD">
        <w:rPr>
          <w:rFonts w:eastAsia="Arial" w:cs="Arial"/>
          <w:color w:val="000000" w:themeColor="text1"/>
        </w:rPr>
        <w:t>the overrepresentation of Aboriginal and Torres Strait Islander people in the justice and out</w:t>
      </w:r>
      <w:r w:rsidR="006E3A86">
        <w:rPr>
          <w:rFonts w:eastAsia="Arial" w:cs="Arial"/>
          <w:color w:val="000000" w:themeColor="text1"/>
        </w:rPr>
        <w:t>-</w:t>
      </w:r>
      <w:r w:rsidR="006E3A86" w:rsidRPr="5CDBF1FD">
        <w:rPr>
          <w:rFonts w:eastAsia="Arial" w:cs="Arial"/>
          <w:color w:val="000000" w:themeColor="text1"/>
        </w:rPr>
        <w:t>of</w:t>
      </w:r>
      <w:r w:rsidR="006E3A86">
        <w:rPr>
          <w:rFonts w:eastAsia="Arial" w:cs="Arial"/>
          <w:color w:val="000000" w:themeColor="text1"/>
        </w:rPr>
        <w:t>-</w:t>
      </w:r>
      <w:r w:rsidR="006E3A86" w:rsidRPr="5CDBF1FD">
        <w:rPr>
          <w:rFonts w:eastAsia="Arial" w:cs="Arial"/>
          <w:color w:val="000000" w:themeColor="text1"/>
        </w:rPr>
        <w:t>home care system</w:t>
      </w:r>
      <w:r w:rsidR="006E3A86">
        <w:rPr>
          <w:rFonts w:eastAsia="Arial" w:cs="Arial"/>
          <w:color w:val="000000" w:themeColor="text1"/>
        </w:rPr>
        <w:t>s</w:t>
      </w:r>
      <w:r w:rsidR="006E3A86" w:rsidRPr="5CDBF1FD">
        <w:rPr>
          <w:rFonts w:eastAsia="Arial" w:cs="Arial"/>
          <w:color w:val="000000" w:themeColor="text1"/>
        </w:rPr>
        <w:t>.</w:t>
      </w:r>
    </w:p>
    <w:p w14:paraId="2C7DE648" w14:textId="44CE0CE0" w:rsidR="006204CF" w:rsidRPr="006204CF" w:rsidRDefault="006204CF" w:rsidP="006204CF">
      <w:pPr>
        <w:rPr>
          <w:rFonts w:eastAsia="Arial" w:cs="Arial"/>
          <w:color w:val="000000" w:themeColor="text1"/>
        </w:rPr>
      </w:pPr>
      <w:r w:rsidRPr="006204CF">
        <w:rPr>
          <w:rFonts w:eastAsia="Arial" w:cs="Arial"/>
          <w:color w:val="000000" w:themeColor="text1"/>
        </w:rPr>
        <w:t>Further, the Bill’s provisions on service of notices present significant risks for parents experiencing homelessness or housing instability</w:t>
      </w:r>
      <w:r w:rsidR="00134661">
        <w:rPr>
          <w:rFonts w:eastAsia="Arial" w:cs="Arial"/>
          <w:color w:val="000000" w:themeColor="text1"/>
        </w:rPr>
        <w:t>. They</w:t>
      </w:r>
      <w:r w:rsidRPr="006204CF">
        <w:rPr>
          <w:rFonts w:eastAsia="Arial" w:cs="Arial"/>
          <w:color w:val="000000" w:themeColor="text1"/>
        </w:rPr>
        <w:t xml:space="preserve"> may not receive notice of an FRO and may unknowingly be placed in breach.</w:t>
      </w:r>
      <w:r>
        <w:rPr>
          <w:rStyle w:val="EndnoteReference"/>
          <w:rFonts w:eastAsia="Arial" w:cs="Arial"/>
          <w:color w:val="000000" w:themeColor="text1"/>
        </w:rPr>
        <w:endnoteReference w:id="30"/>
      </w:r>
    </w:p>
    <w:p w14:paraId="7F10190D" w14:textId="2A965C20" w:rsidR="00ED1845" w:rsidRDefault="00944E17" w:rsidP="1F0C8837">
      <w:pPr>
        <w:rPr>
          <w:rFonts w:eastAsia="Arial" w:cs="Arial"/>
          <w:color w:val="000000" w:themeColor="text1"/>
        </w:rPr>
      </w:pPr>
      <w:r>
        <w:rPr>
          <w:rFonts w:eastAsia="Arial" w:cs="Arial"/>
          <w:color w:val="000000" w:themeColor="text1"/>
        </w:rPr>
        <w:lastRenderedPageBreak/>
        <w:t>The</w:t>
      </w:r>
      <w:r w:rsidR="00B35B04" w:rsidRPr="00B35B04">
        <w:rPr>
          <w:rFonts w:eastAsia="Arial" w:cs="Arial"/>
          <w:color w:val="000000" w:themeColor="text1"/>
        </w:rPr>
        <w:t xml:space="preserve"> National Commission is concerned that the inclusion of Family Responsibility Agreements and Orders </w:t>
      </w:r>
      <w:r w:rsidR="00A13A1E">
        <w:rPr>
          <w:rFonts w:eastAsia="Arial" w:cs="Arial"/>
          <w:color w:val="000000" w:themeColor="text1"/>
        </w:rPr>
        <w:t>does</w:t>
      </w:r>
      <w:r w:rsidR="006B10C3">
        <w:rPr>
          <w:rFonts w:eastAsia="Arial" w:cs="Arial"/>
          <w:color w:val="000000" w:themeColor="text1"/>
        </w:rPr>
        <w:t xml:space="preserve"> </w:t>
      </w:r>
      <w:r w:rsidR="00B35B04" w:rsidRPr="00B35B04">
        <w:rPr>
          <w:rFonts w:eastAsia="Arial" w:cs="Arial"/>
          <w:color w:val="000000" w:themeColor="text1"/>
        </w:rPr>
        <w:t xml:space="preserve">not </w:t>
      </w:r>
      <w:r w:rsidR="004B1BD1">
        <w:rPr>
          <w:rFonts w:eastAsia="Arial" w:cs="Arial"/>
          <w:color w:val="000000" w:themeColor="text1"/>
        </w:rPr>
        <w:t>take a preventative approach</w:t>
      </w:r>
      <w:r w:rsidR="00F43561">
        <w:rPr>
          <w:rFonts w:eastAsia="Arial" w:cs="Arial"/>
          <w:color w:val="000000" w:themeColor="text1"/>
        </w:rPr>
        <w:t xml:space="preserve">, </w:t>
      </w:r>
      <w:r w:rsidR="00B35B04" w:rsidRPr="00B35B04">
        <w:rPr>
          <w:rFonts w:eastAsia="Arial" w:cs="Arial"/>
          <w:color w:val="000000" w:themeColor="text1"/>
        </w:rPr>
        <w:t xml:space="preserve">strengthen protective factors for children or address the underlying conditions contributing to vulnerability. Rather, </w:t>
      </w:r>
      <w:r w:rsidR="00A13A1E">
        <w:rPr>
          <w:rFonts w:eastAsia="Arial" w:cs="Arial"/>
          <w:color w:val="000000" w:themeColor="text1"/>
        </w:rPr>
        <w:t xml:space="preserve">that the framework </w:t>
      </w:r>
      <w:r w:rsidR="000A4E51">
        <w:rPr>
          <w:rFonts w:eastAsia="Arial" w:cs="Arial"/>
          <w:color w:val="000000" w:themeColor="text1"/>
        </w:rPr>
        <w:t>risks</w:t>
      </w:r>
      <w:r w:rsidR="00B35B04" w:rsidRPr="00B35B04">
        <w:rPr>
          <w:rFonts w:eastAsia="Arial" w:cs="Arial"/>
          <w:color w:val="000000" w:themeColor="text1"/>
        </w:rPr>
        <w:t xml:space="preserve"> increased system involvement and escalation into the child protection system. </w:t>
      </w:r>
    </w:p>
    <w:p w14:paraId="34B9B71A" w14:textId="20BDF37A" w:rsidR="000C47CD" w:rsidRDefault="63BCF198" w:rsidP="00ED1845">
      <w:pPr>
        <w:pStyle w:val="Heading2"/>
        <w:rPr>
          <w:rFonts w:eastAsia="Aptos"/>
        </w:rPr>
      </w:pPr>
      <w:r w:rsidRPr="00D166B2">
        <w:rPr>
          <w:rFonts w:eastAsia="Aptos"/>
        </w:rPr>
        <w:t>C</w:t>
      </w:r>
      <w:r w:rsidR="21186435" w:rsidRPr="00D166B2">
        <w:rPr>
          <w:rFonts w:eastAsia="Aptos"/>
        </w:rPr>
        <w:t xml:space="preserve">onclusion </w:t>
      </w:r>
    </w:p>
    <w:p w14:paraId="6B5D271C" w14:textId="77777777" w:rsidR="0021664C" w:rsidRDefault="0021664C" w:rsidP="0021664C">
      <w:r>
        <w:t>The provisions in this Bill replicate structural features that, over several decades, have been repeatedly identified as mechanisms by which Aboriginal children become permanently separated from culture, community, and country.</w:t>
      </w:r>
    </w:p>
    <w:p w14:paraId="2A0BBE1A" w14:textId="2FD0C5F1" w:rsidR="00520678" w:rsidRDefault="00A95FED" w:rsidP="0021664C">
      <w:r>
        <w:t>Major inquiries</w:t>
      </w:r>
      <w:r w:rsidR="0021664C">
        <w:t xml:space="preserve">, including </w:t>
      </w:r>
      <w:r w:rsidR="0021664C">
        <w:rPr>
          <w:i/>
          <w:iCs/>
        </w:rPr>
        <w:t>Bringing them Home</w:t>
      </w:r>
      <w:r w:rsidR="0021664C">
        <w:t xml:space="preserve"> (1997); </w:t>
      </w:r>
      <w:r w:rsidR="0021664C">
        <w:rPr>
          <w:i/>
          <w:iCs/>
        </w:rPr>
        <w:t>Growing them Strong, Together</w:t>
      </w:r>
      <w:r w:rsidR="0021664C">
        <w:t xml:space="preserve"> (2010); and the </w:t>
      </w:r>
      <w:r w:rsidR="0021664C" w:rsidRPr="00117E78">
        <w:rPr>
          <w:i/>
          <w:iCs/>
        </w:rPr>
        <w:t>Royal Commission into the Protection and Detention of Children in the Northern Territory (</w:t>
      </w:r>
      <w:r w:rsidR="0021664C">
        <w:t>2017), have, over decades, consistently documented the ongoing over-representation of Aboriginal children in child protection systems</w:t>
      </w:r>
      <w:r w:rsidR="00134661">
        <w:t>.</w:t>
      </w:r>
      <w:r w:rsidR="0021664C">
        <w:t xml:space="preserve"> </w:t>
      </w:r>
      <w:r w:rsidR="00134661">
        <w:t xml:space="preserve">They </w:t>
      </w:r>
      <w:r w:rsidR="0021664C">
        <w:t>identified structural drivers that replicate the outcomes and devastating harms of Stolen Generations-era policies.</w:t>
      </w:r>
      <w:r w:rsidR="00522F97">
        <w:rPr>
          <w:rStyle w:val="EndnoteReference"/>
        </w:rPr>
        <w:endnoteReference w:id="31"/>
      </w:r>
      <w:r w:rsidR="0021664C">
        <w:t xml:space="preserve"> </w:t>
      </w:r>
    </w:p>
    <w:p w14:paraId="6FB24146" w14:textId="77467CD9" w:rsidR="0021664C" w:rsidRDefault="0021664C" w:rsidP="0021664C">
      <w:r>
        <w:t xml:space="preserve">Recommendations have long centred around self-determination, culturally appropriate service delivery, and addressing structural determinants. By failing to implement these recommendations this Bill replicates structures oriented towards removal and, consequently, it will replicate long-standing failures to protect </w:t>
      </w:r>
      <w:r w:rsidR="00690D05">
        <w:t xml:space="preserve">the safety and wellbeing of </w:t>
      </w:r>
      <w:r>
        <w:t xml:space="preserve">Aboriginal children in the Northern Territory. </w:t>
      </w:r>
    </w:p>
    <w:p w14:paraId="69A65346" w14:textId="75C8F8C8" w:rsidR="00657558" w:rsidRDefault="0021664C" w:rsidP="00657558">
      <w:r>
        <w:t>The Productivity Commission’s 2024 review of the National Agreement on Closing the Gap found that governments largely maintained ‘business as usual’ approaches that require First Peoples to fit into mainstream systems, rather than transforming systems in line with the Priority Reforms.</w:t>
      </w:r>
      <w:r>
        <w:rPr>
          <w:rStyle w:val="EndnoteReference"/>
        </w:rPr>
        <w:endnoteReference w:id="32"/>
      </w:r>
      <w:r>
        <w:t xml:space="preserve"> The report identified a lack of power sharing and the failure of governments to acknowledge that First Peoples </w:t>
      </w:r>
      <w:r w:rsidRPr="000C594D">
        <w:t>know what is best for</w:t>
      </w:r>
      <w:r w:rsidR="00654841" w:rsidRPr="00654841">
        <w:t xml:space="preserve"> their communities as persistent barriers to progress.</w:t>
      </w:r>
    </w:p>
    <w:p w14:paraId="06711D3C" w14:textId="04401BC1" w:rsidR="00657558" w:rsidRDefault="00657558" w:rsidP="00657558">
      <w:r w:rsidRPr="00657558">
        <w:t>In this context, the Bill’s subordination of the ATSICPP, restrictions on reunification, expanded</w:t>
      </w:r>
      <w:r w:rsidR="00D67B1A">
        <w:t xml:space="preserve"> departmental</w:t>
      </w:r>
      <w:r w:rsidRPr="00657558">
        <w:t xml:space="preserve"> discretion, and introduction of compliance-based mechanisms raise significant concerns. Collectively, these changes risk reinforcing, rather than addressing, the systemic factors contributing to Aboriginal over-representation in out-of-home care.</w:t>
      </w:r>
    </w:p>
    <w:p w14:paraId="301E3A67" w14:textId="6F27C43A" w:rsidR="00A3247D" w:rsidRPr="00B702EB" w:rsidRDefault="005216FC" w:rsidP="00657558">
      <w:r w:rsidRPr="00B702EB">
        <w:t>The National Commission considers that the Bill lowers the threshold for removal and weakens accountability for agencies to provide early, proactive, and meaningful support to families</w:t>
      </w:r>
      <w:r w:rsidR="00C24010">
        <w:t>. This</w:t>
      </w:r>
      <w:r w:rsidRPr="00B702EB">
        <w:t xml:space="preserve"> increas</w:t>
      </w:r>
      <w:r w:rsidR="00C24010">
        <w:t>es</w:t>
      </w:r>
      <w:r w:rsidRPr="00B702EB">
        <w:t xml:space="preserve"> the risk of responses that may be experienced as punitive rather than supportive. The Commission is also concerned that the Bill diminishes the role of culturally informed, relational, and community-led approaches that are critical to supporting child wellbeing and maintaining connections to family, culture, and community.</w:t>
      </w:r>
      <w:r w:rsidR="00775EC8" w:rsidRPr="00B702EB">
        <w:t xml:space="preserve"> </w:t>
      </w:r>
    </w:p>
    <w:p w14:paraId="1E071A39" w14:textId="038855AB" w:rsidR="00657558" w:rsidRDefault="00FB48BF" w:rsidP="00657558">
      <w:pPr>
        <w:rPr>
          <w:b/>
          <w:bCs/>
        </w:rPr>
      </w:pPr>
      <w:r>
        <w:rPr>
          <w:b/>
          <w:bCs/>
        </w:rPr>
        <w:t>T</w:t>
      </w:r>
      <w:r w:rsidR="00775EC8" w:rsidRPr="00930DC8">
        <w:rPr>
          <w:b/>
          <w:bCs/>
        </w:rPr>
        <w:t>he National Commission recommends</w:t>
      </w:r>
      <w:r w:rsidR="00A3247D">
        <w:rPr>
          <w:b/>
          <w:bCs/>
        </w:rPr>
        <w:t>:</w:t>
      </w:r>
    </w:p>
    <w:p w14:paraId="691D576C" w14:textId="77777777" w:rsidR="00A3247D" w:rsidRPr="00F65E02" w:rsidRDefault="00A3247D" w:rsidP="00A3247D">
      <w:r w:rsidRPr="00F65E02">
        <w:rPr>
          <w:b/>
          <w:bCs/>
        </w:rPr>
        <w:t>Recommendation 1:</w:t>
      </w:r>
      <w:r w:rsidRPr="00F65E02">
        <w:t xml:space="preserve"> The </w:t>
      </w:r>
      <w:r w:rsidRPr="00F65E02">
        <w:rPr>
          <w:i/>
          <w:iCs/>
        </w:rPr>
        <w:t>Care and Protection of Children Legislation Amendment (Every Child Matters) Bill 2026</w:t>
      </w:r>
      <w:r w:rsidRPr="00F65E02">
        <w:t xml:space="preserve"> not be passed.</w:t>
      </w:r>
    </w:p>
    <w:p w14:paraId="25AFBF80" w14:textId="77777777" w:rsidR="00A3247D" w:rsidRPr="00F65E02" w:rsidRDefault="00A3247D" w:rsidP="00A3247D">
      <w:r w:rsidRPr="00F65E02">
        <w:rPr>
          <w:b/>
          <w:bCs/>
        </w:rPr>
        <w:t>Recommendation 2:</w:t>
      </w:r>
      <w:r w:rsidRPr="00F65E02">
        <w:t xml:space="preserve"> The Northern Territory Government undertake genuine consultation with Aboriginal community-controlled organisations on any future legislative reform.</w:t>
      </w:r>
    </w:p>
    <w:p w14:paraId="62524F3D" w14:textId="77777777" w:rsidR="00A3247D" w:rsidRPr="00F65E02" w:rsidRDefault="00A3247D" w:rsidP="00A3247D">
      <w:r w:rsidRPr="00F65E02">
        <w:rPr>
          <w:b/>
          <w:bCs/>
        </w:rPr>
        <w:t>Recommendation 3:</w:t>
      </w:r>
      <w:r w:rsidRPr="00F65E02">
        <w:t xml:space="preserve"> Any future reform retain the Aboriginal and Torres Strait Islander Child Placement Principle (ATSICPP) as a binding legislative requirement, applied to the standard of active efforts.</w:t>
      </w:r>
    </w:p>
    <w:p w14:paraId="0AB6CAC7" w14:textId="77777777" w:rsidR="00A3247D" w:rsidRPr="00F65E02" w:rsidRDefault="00A3247D" w:rsidP="00A3247D">
      <w:r w:rsidRPr="00F65E02">
        <w:rPr>
          <w:b/>
          <w:bCs/>
        </w:rPr>
        <w:t>Recommendation 4:</w:t>
      </w:r>
      <w:r w:rsidRPr="00F65E02">
        <w:t xml:space="preserve"> The current threshold for removal — that a child </w:t>
      </w:r>
      <w:r w:rsidRPr="00F65E02">
        <w:rPr>
          <w:i/>
          <w:iCs/>
        </w:rPr>
        <w:t>may be removed</w:t>
      </w:r>
      <w:r w:rsidRPr="00F65E02">
        <w:t xml:space="preserve"> only where there is an </w:t>
      </w:r>
      <w:r w:rsidRPr="00F65E02">
        <w:rPr>
          <w:i/>
          <w:iCs/>
        </w:rPr>
        <w:t>unacceptable risk of harm</w:t>
      </w:r>
      <w:r w:rsidRPr="00F65E02">
        <w:t xml:space="preserve"> — be retained.</w:t>
      </w:r>
    </w:p>
    <w:p w14:paraId="218DF230" w14:textId="77777777" w:rsidR="00A3247D" w:rsidRPr="00F65E02" w:rsidRDefault="00A3247D" w:rsidP="00A3247D">
      <w:r w:rsidRPr="00F65E02">
        <w:rPr>
          <w:b/>
          <w:bCs/>
        </w:rPr>
        <w:t>Recommendation 5:</w:t>
      </w:r>
      <w:r w:rsidRPr="00F65E02">
        <w:t xml:space="preserve"> Reunification timeframes not be reduced in the absence of clear evidence that the Department of Children and Families has the capacity to safely reunify children within shorter timeframes.</w:t>
      </w:r>
    </w:p>
    <w:p w14:paraId="5D90D043" w14:textId="77777777" w:rsidR="00A3247D" w:rsidRPr="00F65E02" w:rsidRDefault="00A3247D" w:rsidP="00A3247D">
      <w:r w:rsidRPr="00F65E02">
        <w:rPr>
          <w:b/>
          <w:bCs/>
        </w:rPr>
        <w:t>Recommendation 6:</w:t>
      </w:r>
      <w:r w:rsidRPr="00F65E02">
        <w:t xml:space="preserve"> Family Responsibility Agreements and Family Responsibility Orders not be introduced.</w:t>
      </w:r>
    </w:p>
    <w:p w14:paraId="0FE97A31" w14:textId="77777777" w:rsidR="00775EC8" w:rsidRDefault="00775EC8" w:rsidP="00B702EB">
      <w:pPr>
        <w:spacing w:after="160" w:line="278" w:lineRule="auto"/>
      </w:pPr>
    </w:p>
    <w:p w14:paraId="5D30DDC4" w14:textId="77777777" w:rsidR="009B500C" w:rsidRDefault="009B500C" w:rsidP="00B702EB">
      <w:pPr>
        <w:spacing w:after="160" w:line="278" w:lineRule="auto"/>
      </w:pPr>
    </w:p>
    <w:sectPr w:rsidR="009B500C" w:rsidSect="00F46F14">
      <w:endnotePr>
        <w:numFmt w:val="decimal"/>
      </w:endnotePr>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F8B75" w14:textId="77777777" w:rsidR="004E0ECA" w:rsidRDefault="004E0ECA" w:rsidP="00A6010E">
      <w:pPr>
        <w:spacing w:after="0" w:line="240" w:lineRule="auto"/>
      </w:pPr>
      <w:r>
        <w:separator/>
      </w:r>
    </w:p>
  </w:endnote>
  <w:endnote w:type="continuationSeparator" w:id="0">
    <w:p w14:paraId="58172E9A" w14:textId="77777777" w:rsidR="004E0ECA" w:rsidRDefault="004E0ECA" w:rsidP="00A6010E">
      <w:pPr>
        <w:spacing w:after="0" w:line="240" w:lineRule="auto"/>
      </w:pPr>
      <w:r>
        <w:continuationSeparator/>
      </w:r>
    </w:p>
  </w:endnote>
  <w:endnote w:id="1">
    <w:p w14:paraId="2DF4A694" w14:textId="424F972E" w:rsidR="007E45D0" w:rsidRPr="00D67B1A" w:rsidRDefault="007E45D0" w:rsidP="00B702EB">
      <w:pPr>
        <w:pStyle w:val="EndnoteText"/>
        <w:spacing w:line="276" w:lineRule="auto"/>
        <w:rPr>
          <w:sz w:val="16"/>
          <w:szCs w:val="16"/>
        </w:rPr>
      </w:pPr>
      <w:r w:rsidRPr="00D67B1A">
        <w:rPr>
          <w:rStyle w:val="EndnoteReference"/>
          <w:sz w:val="16"/>
          <w:szCs w:val="16"/>
        </w:rPr>
        <w:endnoteRef/>
      </w:r>
      <w:r w:rsidRPr="00D67B1A">
        <w:rPr>
          <w:sz w:val="16"/>
          <w:szCs w:val="16"/>
        </w:rPr>
        <w:t xml:space="preserve"> </w:t>
      </w:r>
      <w:r w:rsidR="00024B7C" w:rsidRPr="00D67B1A">
        <w:rPr>
          <w:sz w:val="16"/>
          <w:szCs w:val="16"/>
        </w:rPr>
        <w:t xml:space="preserve">Australian Institute of Health and Welfare (2024a) </w:t>
      </w:r>
      <w:r w:rsidR="00024B7C" w:rsidRPr="00D67B1A">
        <w:rPr>
          <w:i/>
          <w:iCs/>
          <w:sz w:val="16"/>
          <w:szCs w:val="16"/>
        </w:rPr>
        <w:t>Child Protection Australia 2022–23</w:t>
      </w:r>
      <w:r w:rsidR="00024B7C" w:rsidRPr="00D67B1A">
        <w:rPr>
          <w:sz w:val="16"/>
          <w:szCs w:val="16"/>
        </w:rPr>
        <w:t>. Canberra: AIHW. Available at: https://www.aihw.gov.au/reports/child-protection/child-protection-australia-2022-23</w:t>
      </w:r>
    </w:p>
  </w:endnote>
  <w:endnote w:id="2">
    <w:p w14:paraId="31E88371" w14:textId="407FEA04" w:rsidR="00FD6112" w:rsidRPr="00D67B1A" w:rsidRDefault="00FD6112" w:rsidP="00B702EB">
      <w:pPr>
        <w:pStyle w:val="EndnoteText"/>
        <w:spacing w:line="276" w:lineRule="auto"/>
        <w:rPr>
          <w:sz w:val="16"/>
          <w:szCs w:val="16"/>
        </w:rPr>
      </w:pPr>
      <w:r w:rsidRPr="00D67B1A">
        <w:rPr>
          <w:rStyle w:val="EndnoteReference"/>
          <w:sz w:val="16"/>
          <w:szCs w:val="16"/>
        </w:rPr>
        <w:endnoteRef/>
      </w:r>
      <w:r w:rsidRPr="00D67B1A">
        <w:rPr>
          <w:sz w:val="16"/>
          <w:szCs w:val="16"/>
        </w:rPr>
        <w:t xml:space="preserve"> </w:t>
      </w:r>
      <w:r w:rsidR="00483673" w:rsidRPr="00D67B1A">
        <w:rPr>
          <w:sz w:val="16"/>
          <w:szCs w:val="16"/>
        </w:rPr>
        <w:t xml:space="preserve">Secretariat of National Aboriginal and Islander Child Care (SNAICC) (2017) </w:t>
      </w:r>
      <w:r w:rsidR="00483673" w:rsidRPr="00D67B1A">
        <w:rPr>
          <w:i/>
          <w:iCs/>
          <w:sz w:val="16"/>
          <w:szCs w:val="16"/>
        </w:rPr>
        <w:t>Understanding and Applying the Aboriginal and Torres Strait Islander Child Placement Principle</w:t>
      </w:r>
      <w:r w:rsidR="00483673" w:rsidRPr="00D67B1A">
        <w:rPr>
          <w:sz w:val="16"/>
          <w:szCs w:val="16"/>
        </w:rPr>
        <w:t xml:space="preserve">. Melbourne: SNAICC. Available at: </w:t>
      </w:r>
      <w:hyperlink r:id="rId1" w:history="1">
        <w:r w:rsidR="000E18FD" w:rsidRPr="00D67B1A">
          <w:rPr>
            <w:rStyle w:val="Hyperlink"/>
            <w:sz w:val="16"/>
            <w:szCs w:val="16"/>
          </w:rPr>
          <w:t>https://www.snaicc.org.au/wp-content/uploads/2017/07/Understanding_applying_ATSICCP.pdf</w:t>
        </w:r>
      </w:hyperlink>
      <w:r w:rsidR="000E18FD" w:rsidRPr="00D67B1A">
        <w:rPr>
          <w:sz w:val="16"/>
          <w:szCs w:val="16"/>
        </w:rPr>
        <w:t xml:space="preserve"> </w:t>
      </w:r>
    </w:p>
  </w:endnote>
  <w:endnote w:id="3">
    <w:p w14:paraId="1368AAF2" w14:textId="13D2B204" w:rsidR="00FD6112" w:rsidRPr="00D67B1A" w:rsidRDefault="00FD6112" w:rsidP="00B702EB">
      <w:pPr>
        <w:pStyle w:val="EndnoteText"/>
        <w:spacing w:line="276" w:lineRule="auto"/>
        <w:rPr>
          <w:sz w:val="16"/>
          <w:szCs w:val="16"/>
          <w:lang w:val="en-US"/>
        </w:rPr>
      </w:pPr>
      <w:r w:rsidRPr="00D67B1A">
        <w:rPr>
          <w:rStyle w:val="EndnoteReference"/>
          <w:sz w:val="16"/>
          <w:szCs w:val="16"/>
        </w:rPr>
        <w:endnoteRef/>
      </w:r>
      <w:r w:rsidRPr="00D67B1A">
        <w:rPr>
          <w:sz w:val="16"/>
          <w:szCs w:val="16"/>
        </w:rPr>
        <w:t xml:space="preserve"> </w:t>
      </w:r>
      <w:r w:rsidR="00AE6857" w:rsidRPr="00D67B1A">
        <w:rPr>
          <w:sz w:val="16"/>
          <w:szCs w:val="16"/>
        </w:rPr>
        <w:t>Ibid</w:t>
      </w:r>
    </w:p>
  </w:endnote>
  <w:endnote w:id="4">
    <w:p w14:paraId="1BCB2E5A" w14:textId="3CF7EE4B" w:rsidR="003C629C" w:rsidRPr="006D574E" w:rsidRDefault="003C629C" w:rsidP="00B702EB">
      <w:pPr>
        <w:pStyle w:val="EndnoteText"/>
        <w:spacing w:line="276" w:lineRule="auto"/>
        <w:rPr>
          <w:sz w:val="16"/>
          <w:szCs w:val="16"/>
          <w:lang w:val="en-US"/>
        </w:rPr>
      </w:pPr>
      <w:r w:rsidRPr="006D574E">
        <w:rPr>
          <w:rStyle w:val="EndnoteReference"/>
          <w:sz w:val="16"/>
          <w:szCs w:val="16"/>
        </w:rPr>
        <w:endnoteRef/>
      </w:r>
      <w:r w:rsidRPr="006D574E">
        <w:rPr>
          <w:sz w:val="16"/>
          <w:szCs w:val="16"/>
        </w:rPr>
        <w:t xml:space="preserve"> </w:t>
      </w:r>
      <w:r w:rsidR="00487963" w:rsidRPr="006D574E">
        <w:rPr>
          <w:i/>
          <w:iCs/>
          <w:sz w:val="16"/>
          <w:szCs w:val="16"/>
        </w:rPr>
        <w:t xml:space="preserve">Care and Protection of Children Act 2007 </w:t>
      </w:r>
      <w:r w:rsidR="00487963" w:rsidRPr="006D574E">
        <w:rPr>
          <w:sz w:val="16"/>
          <w:szCs w:val="16"/>
        </w:rPr>
        <w:t>(NT) s</w:t>
      </w:r>
      <w:r w:rsidR="00BC3980" w:rsidRPr="006D574E">
        <w:rPr>
          <w:sz w:val="16"/>
          <w:szCs w:val="16"/>
        </w:rPr>
        <w:t xml:space="preserve">s </w:t>
      </w:r>
      <w:r w:rsidR="006F6215" w:rsidRPr="006D574E">
        <w:rPr>
          <w:sz w:val="16"/>
          <w:szCs w:val="16"/>
        </w:rPr>
        <w:t>10-12.</w:t>
      </w:r>
    </w:p>
  </w:endnote>
  <w:endnote w:id="5">
    <w:p w14:paraId="164BAB64" w14:textId="2FCBDEFB" w:rsidR="00BC3980" w:rsidRPr="006D574E" w:rsidRDefault="00BC3980" w:rsidP="00B702EB">
      <w:pPr>
        <w:pStyle w:val="EndnoteText"/>
        <w:spacing w:line="276" w:lineRule="auto"/>
        <w:rPr>
          <w:sz w:val="16"/>
          <w:szCs w:val="16"/>
        </w:rPr>
      </w:pPr>
      <w:r w:rsidRPr="006D574E">
        <w:rPr>
          <w:rStyle w:val="EndnoteReference"/>
          <w:sz w:val="16"/>
          <w:szCs w:val="16"/>
        </w:rPr>
        <w:endnoteRef/>
      </w:r>
      <w:r w:rsidRPr="006D574E">
        <w:rPr>
          <w:sz w:val="16"/>
          <w:szCs w:val="16"/>
        </w:rPr>
        <w:t xml:space="preserve"> </w:t>
      </w:r>
      <w:r w:rsidR="000869D6" w:rsidRPr="006D574E">
        <w:rPr>
          <w:i/>
          <w:iCs/>
          <w:sz w:val="16"/>
          <w:szCs w:val="16"/>
        </w:rPr>
        <w:t>Care and Protection of Children Legislation Amendment (Every Child Matters) Bill 2026</w:t>
      </w:r>
      <w:r w:rsidR="000869D6" w:rsidRPr="006D574E">
        <w:rPr>
          <w:sz w:val="16"/>
          <w:szCs w:val="16"/>
        </w:rPr>
        <w:t xml:space="preserve"> (NT) </w:t>
      </w:r>
      <w:r w:rsidR="00E4609E" w:rsidRPr="006D574E">
        <w:rPr>
          <w:sz w:val="16"/>
          <w:szCs w:val="16"/>
        </w:rPr>
        <w:t xml:space="preserve">s </w:t>
      </w:r>
      <w:r w:rsidR="00C30588" w:rsidRPr="006D574E">
        <w:rPr>
          <w:sz w:val="16"/>
          <w:szCs w:val="16"/>
        </w:rPr>
        <w:t>7</w:t>
      </w:r>
      <w:r w:rsidR="00A80D28" w:rsidRPr="006D574E">
        <w:rPr>
          <w:sz w:val="16"/>
          <w:szCs w:val="16"/>
        </w:rPr>
        <w:t>.</w:t>
      </w:r>
    </w:p>
  </w:endnote>
  <w:endnote w:id="6">
    <w:p w14:paraId="68732BCD" w14:textId="21E335DF" w:rsidR="00541311" w:rsidRPr="00286CBF" w:rsidRDefault="00541311" w:rsidP="00B702EB">
      <w:pPr>
        <w:pStyle w:val="EndnoteText"/>
        <w:spacing w:line="276" w:lineRule="auto"/>
        <w:rPr>
          <w:sz w:val="16"/>
          <w:szCs w:val="16"/>
          <w:lang w:val="en-US"/>
        </w:rPr>
      </w:pPr>
      <w:r w:rsidRPr="00286CBF">
        <w:rPr>
          <w:rStyle w:val="EndnoteReference"/>
          <w:sz w:val="16"/>
          <w:szCs w:val="16"/>
        </w:rPr>
        <w:endnoteRef/>
      </w:r>
      <w:r w:rsidRPr="00286CBF">
        <w:rPr>
          <w:sz w:val="16"/>
          <w:szCs w:val="16"/>
        </w:rPr>
        <w:t xml:space="preserve"> </w:t>
      </w:r>
      <w:r w:rsidR="006D574E" w:rsidRPr="006D574E">
        <w:rPr>
          <w:i/>
          <w:iCs/>
          <w:sz w:val="16"/>
          <w:szCs w:val="16"/>
        </w:rPr>
        <w:t xml:space="preserve">Care and Protection of Children Act 2007 </w:t>
      </w:r>
      <w:r w:rsidR="006D574E" w:rsidRPr="006D574E">
        <w:rPr>
          <w:sz w:val="16"/>
          <w:szCs w:val="16"/>
        </w:rPr>
        <w:t>(NT) s 8(3).</w:t>
      </w:r>
    </w:p>
  </w:endnote>
  <w:endnote w:id="7">
    <w:p w14:paraId="6E042E6B" w14:textId="6EE462F2" w:rsidR="006D574E" w:rsidRPr="00286CBF" w:rsidRDefault="006D574E" w:rsidP="00B702EB">
      <w:pPr>
        <w:pStyle w:val="EndnoteText"/>
        <w:spacing w:line="276" w:lineRule="auto"/>
        <w:rPr>
          <w:lang w:val="en-US"/>
        </w:rPr>
      </w:pPr>
      <w:r w:rsidRPr="00286CBF">
        <w:rPr>
          <w:rStyle w:val="EndnoteReference"/>
          <w:sz w:val="16"/>
          <w:szCs w:val="16"/>
        </w:rPr>
        <w:endnoteRef/>
      </w:r>
      <w:r w:rsidRPr="00286CBF">
        <w:rPr>
          <w:sz w:val="16"/>
          <w:szCs w:val="16"/>
        </w:rPr>
        <w:t xml:space="preserve"> </w:t>
      </w:r>
      <w:r w:rsidRPr="006D574E">
        <w:rPr>
          <w:i/>
          <w:iCs/>
          <w:sz w:val="16"/>
          <w:szCs w:val="16"/>
        </w:rPr>
        <w:t>Care and Protection of Children Legislation Amendment (Every Child Matters) Bill 2026</w:t>
      </w:r>
      <w:r w:rsidRPr="006D574E">
        <w:rPr>
          <w:sz w:val="16"/>
          <w:szCs w:val="16"/>
        </w:rPr>
        <w:t xml:space="preserve"> (NT) s </w:t>
      </w:r>
      <w:r w:rsidR="006F22DD">
        <w:rPr>
          <w:sz w:val="16"/>
          <w:szCs w:val="16"/>
        </w:rPr>
        <w:t>12A(3).</w:t>
      </w:r>
    </w:p>
  </w:endnote>
  <w:endnote w:id="8">
    <w:p w14:paraId="192C7FB7" w14:textId="63B064B9" w:rsidR="003C629C" w:rsidRPr="006D574E" w:rsidRDefault="003C629C" w:rsidP="00B702EB">
      <w:pPr>
        <w:pStyle w:val="EndnoteText"/>
        <w:spacing w:line="276" w:lineRule="auto"/>
        <w:rPr>
          <w:sz w:val="16"/>
          <w:szCs w:val="16"/>
        </w:rPr>
      </w:pPr>
      <w:r w:rsidRPr="006D574E">
        <w:rPr>
          <w:rStyle w:val="EndnoteReference"/>
          <w:sz w:val="16"/>
          <w:szCs w:val="16"/>
        </w:rPr>
        <w:endnoteRef/>
      </w:r>
      <w:r w:rsidRPr="006D574E">
        <w:rPr>
          <w:sz w:val="16"/>
          <w:szCs w:val="16"/>
        </w:rPr>
        <w:t xml:space="preserve"> </w:t>
      </w:r>
      <w:r w:rsidR="00C3762E" w:rsidRPr="006D574E">
        <w:rPr>
          <w:sz w:val="16"/>
          <w:szCs w:val="16"/>
        </w:rPr>
        <w:t xml:space="preserve">Secretariat of National Aboriginal and Islander Child Care (SNAICC) (2025) </w:t>
      </w:r>
      <w:r w:rsidR="00C3762E" w:rsidRPr="006D574E">
        <w:rPr>
          <w:i/>
          <w:iCs/>
          <w:sz w:val="16"/>
          <w:szCs w:val="16"/>
        </w:rPr>
        <w:t>Reviewing Implementation of the Aboriginal and Torres Strait Islander Child Placement Principle (NT)</w:t>
      </w:r>
      <w:r w:rsidR="00C3762E" w:rsidRPr="006D574E">
        <w:rPr>
          <w:sz w:val="16"/>
          <w:szCs w:val="16"/>
        </w:rPr>
        <w:t>. Melbourne: SNAICC. Available at</w:t>
      </w:r>
      <w:r w:rsidR="00AF0279" w:rsidRPr="006D574E">
        <w:rPr>
          <w:sz w:val="16"/>
          <w:szCs w:val="16"/>
        </w:rPr>
        <w:t xml:space="preserve">: </w:t>
      </w:r>
      <w:hyperlink r:id="rId2" w:history="1">
        <w:r w:rsidR="005B6F5A" w:rsidRPr="006D574E">
          <w:rPr>
            <w:rStyle w:val="Hyperlink"/>
            <w:sz w:val="16"/>
            <w:szCs w:val="16"/>
          </w:rPr>
          <w:t>https://www.snaicc.org.au/wp-content/uploads/2026/02/Reviewing-Implementation-of-the-Child-Placement-Principle-NT-2025.pdf</w:t>
        </w:r>
      </w:hyperlink>
      <w:r w:rsidR="005B6F5A" w:rsidRPr="006D574E">
        <w:rPr>
          <w:sz w:val="16"/>
          <w:szCs w:val="16"/>
        </w:rPr>
        <w:t xml:space="preserve"> </w:t>
      </w:r>
    </w:p>
  </w:endnote>
  <w:endnote w:id="9">
    <w:p w14:paraId="274CD618" w14:textId="0D432F1B" w:rsidR="003C629C" w:rsidRPr="006D574E" w:rsidRDefault="003C629C" w:rsidP="00B702EB">
      <w:pPr>
        <w:pStyle w:val="EndnoteText"/>
        <w:spacing w:line="276" w:lineRule="auto"/>
        <w:rPr>
          <w:sz w:val="16"/>
          <w:szCs w:val="16"/>
          <w:lang w:val="en-US"/>
        </w:rPr>
      </w:pPr>
      <w:r w:rsidRPr="006D574E">
        <w:rPr>
          <w:rStyle w:val="EndnoteReference"/>
          <w:sz w:val="16"/>
          <w:szCs w:val="16"/>
        </w:rPr>
        <w:endnoteRef/>
      </w:r>
      <w:r w:rsidRPr="006D574E">
        <w:rPr>
          <w:sz w:val="16"/>
          <w:szCs w:val="16"/>
        </w:rPr>
        <w:t xml:space="preserve"> </w:t>
      </w:r>
      <w:r w:rsidR="00E4609E" w:rsidRPr="006D574E">
        <w:rPr>
          <w:sz w:val="16"/>
          <w:szCs w:val="16"/>
        </w:rPr>
        <w:t xml:space="preserve">Ibid. </w:t>
      </w:r>
    </w:p>
  </w:endnote>
  <w:endnote w:id="10">
    <w:p w14:paraId="0293CC80" w14:textId="497244D9" w:rsidR="00F1010B" w:rsidRPr="006D574E" w:rsidRDefault="00F1010B" w:rsidP="00B702EB">
      <w:pPr>
        <w:pStyle w:val="EndnoteText"/>
        <w:spacing w:line="276" w:lineRule="auto"/>
        <w:rPr>
          <w:sz w:val="16"/>
          <w:szCs w:val="16"/>
          <w:lang w:val="en-US"/>
        </w:rPr>
      </w:pPr>
      <w:r w:rsidRPr="006D574E">
        <w:rPr>
          <w:rStyle w:val="EndnoteReference"/>
          <w:sz w:val="16"/>
          <w:szCs w:val="16"/>
        </w:rPr>
        <w:endnoteRef/>
      </w:r>
      <w:r w:rsidRPr="006D574E">
        <w:rPr>
          <w:sz w:val="16"/>
          <w:szCs w:val="16"/>
        </w:rPr>
        <w:t xml:space="preserve"> </w:t>
      </w:r>
      <w:r w:rsidR="00C30588" w:rsidRPr="006D574E">
        <w:rPr>
          <w:sz w:val="16"/>
          <w:szCs w:val="16"/>
        </w:rPr>
        <w:t xml:space="preserve">Ibid. </w:t>
      </w:r>
    </w:p>
  </w:endnote>
  <w:endnote w:id="11">
    <w:p w14:paraId="167E8AA2" w14:textId="0644F8F6" w:rsidR="00F1010B" w:rsidRPr="006D574E" w:rsidRDefault="00F1010B" w:rsidP="00B702EB">
      <w:pPr>
        <w:pStyle w:val="EndnoteText"/>
        <w:spacing w:line="276" w:lineRule="auto"/>
        <w:rPr>
          <w:sz w:val="16"/>
          <w:szCs w:val="16"/>
        </w:rPr>
      </w:pPr>
      <w:r w:rsidRPr="006D574E">
        <w:rPr>
          <w:rStyle w:val="EndnoteReference"/>
          <w:sz w:val="16"/>
          <w:szCs w:val="16"/>
        </w:rPr>
        <w:endnoteRef/>
      </w:r>
      <w:r w:rsidRPr="006D574E">
        <w:rPr>
          <w:sz w:val="16"/>
          <w:szCs w:val="16"/>
        </w:rPr>
        <w:t xml:space="preserve"> </w:t>
      </w:r>
      <w:r w:rsidR="00F94C3B" w:rsidRPr="006D574E">
        <w:rPr>
          <w:sz w:val="16"/>
          <w:szCs w:val="16"/>
        </w:rPr>
        <w:t xml:space="preserve">Australian Institute of Health and Welfare (2024) </w:t>
      </w:r>
      <w:r w:rsidR="00F94C3B" w:rsidRPr="006D574E">
        <w:rPr>
          <w:i/>
          <w:iCs/>
          <w:sz w:val="16"/>
          <w:szCs w:val="16"/>
        </w:rPr>
        <w:t>Child Protection Australia 2022–23</w:t>
      </w:r>
      <w:r w:rsidR="00F94C3B" w:rsidRPr="006D574E">
        <w:rPr>
          <w:sz w:val="16"/>
          <w:szCs w:val="16"/>
        </w:rPr>
        <w:t xml:space="preserve">. Canberra: AIHW. Available at: </w:t>
      </w:r>
      <w:hyperlink r:id="rId3" w:history="1">
        <w:r w:rsidR="00A01543" w:rsidRPr="006D574E">
          <w:rPr>
            <w:rStyle w:val="Hyperlink"/>
            <w:sz w:val="16"/>
            <w:szCs w:val="16"/>
          </w:rPr>
          <w:t>https://www.aihw.gov.au/reports/child-protection/child-protection-australia-2022-23</w:t>
        </w:r>
      </w:hyperlink>
      <w:r w:rsidR="00A01543" w:rsidRPr="006D574E">
        <w:rPr>
          <w:sz w:val="16"/>
          <w:szCs w:val="16"/>
        </w:rPr>
        <w:t xml:space="preserve"> </w:t>
      </w:r>
    </w:p>
  </w:endnote>
  <w:endnote w:id="12">
    <w:p w14:paraId="36360C44" w14:textId="6D26F57C" w:rsidR="00D75BE9" w:rsidRPr="006D574E" w:rsidRDefault="00D75BE9" w:rsidP="00B702EB">
      <w:pPr>
        <w:pStyle w:val="EndnoteText"/>
        <w:spacing w:line="276" w:lineRule="auto"/>
        <w:rPr>
          <w:i/>
          <w:iCs/>
          <w:sz w:val="16"/>
          <w:szCs w:val="16"/>
          <w:lang w:val="en-US"/>
        </w:rPr>
      </w:pPr>
      <w:r w:rsidRPr="006D574E">
        <w:rPr>
          <w:rStyle w:val="EndnoteReference"/>
          <w:sz w:val="16"/>
          <w:szCs w:val="16"/>
        </w:rPr>
        <w:endnoteRef/>
      </w:r>
      <w:r w:rsidRPr="006D574E">
        <w:rPr>
          <w:sz w:val="16"/>
          <w:szCs w:val="16"/>
        </w:rPr>
        <w:t xml:space="preserve"> </w:t>
      </w:r>
      <w:r w:rsidR="007232BC" w:rsidRPr="006D574E">
        <w:rPr>
          <w:sz w:val="16"/>
          <w:szCs w:val="16"/>
          <w:lang w:val="en-US"/>
        </w:rPr>
        <w:t>Australian Institute of Health and Welfare (202</w:t>
      </w:r>
      <w:r w:rsidR="00954F13" w:rsidRPr="006D574E">
        <w:rPr>
          <w:sz w:val="16"/>
          <w:szCs w:val="16"/>
          <w:lang w:val="en-US"/>
        </w:rPr>
        <w:t>4</w:t>
      </w:r>
      <w:r w:rsidR="007232BC" w:rsidRPr="006D574E">
        <w:rPr>
          <w:sz w:val="16"/>
          <w:szCs w:val="16"/>
          <w:lang w:val="en-US"/>
        </w:rPr>
        <w:t xml:space="preserve">). </w:t>
      </w:r>
      <w:r w:rsidR="003860FE" w:rsidRPr="006D574E">
        <w:rPr>
          <w:i/>
          <w:iCs/>
          <w:sz w:val="16"/>
          <w:szCs w:val="16"/>
          <w:lang w:val="en-US"/>
        </w:rPr>
        <w:t>Data tables: Child protection Australia 2023–24: Insights</w:t>
      </w:r>
      <w:r w:rsidR="00F03C7E" w:rsidRPr="006D574E">
        <w:rPr>
          <w:sz w:val="16"/>
          <w:szCs w:val="16"/>
          <w:lang w:val="en-US"/>
        </w:rPr>
        <w:t>, supplementary data Table S5.14 (‘Children in out-of-home care, by length of time continuously in care, Indigenous Status and state or territory</w:t>
      </w:r>
      <w:r w:rsidR="00F44161" w:rsidRPr="006D574E">
        <w:rPr>
          <w:sz w:val="16"/>
          <w:szCs w:val="16"/>
          <w:lang w:val="en-US"/>
        </w:rPr>
        <w:t>, 30 June 202</w:t>
      </w:r>
      <w:r w:rsidR="00904807" w:rsidRPr="006D574E">
        <w:rPr>
          <w:sz w:val="16"/>
          <w:szCs w:val="16"/>
          <w:lang w:val="en-US"/>
        </w:rPr>
        <w:t>4</w:t>
      </w:r>
      <w:r w:rsidR="00F44161" w:rsidRPr="006D574E">
        <w:rPr>
          <w:sz w:val="16"/>
          <w:szCs w:val="16"/>
          <w:lang w:val="en-US"/>
        </w:rPr>
        <w:t>’)</w:t>
      </w:r>
      <w:r w:rsidR="008B7AFA" w:rsidRPr="006D574E">
        <w:rPr>
          <w:sz w:val="16"/>
          <w:szCs w:val="16"/>
          <w:lang w:val="en-US"/>
        </w:rPr>
        <w:t xml:space="preserve">, </w:t>
      </w:r>
      <w:hyperlink r:id="rId4" w:history="1">
        <w:r w:rsidR="00B35C8A" w:rsidRPr="006D574E">
          <w:rPr>
            <w:rStyle w:val="Hyperlink"/>
            <w:sz w:val="16"/>
            <w:szCs w:val="16"/>
            <w:lang w:val="en-US"/>
          </w:rPr>
          <w:t>https://www.aihw.gov.au/reports/child-protection/child-protection-australia-2023-24/data</w:t>
        </w:r>
      </w:hyperlink>
      <w:r w:rsidR="00B35C8A" w:rsidRPr="006D574E">
        <w:rPr>
          <w:sz w:val="16"/>
          <w:szCs w:val="16"/>
          <w:lang w:val="en-US"/>
        </w:rPr>
        <w:t xml:space="preserve"> </w:t>
      </w:r>
    </w:p>
  </w:endnote>
  <w:endnote w:id="13">
    <w:p w14:paraId="0B3B0856" w14:textId="726E888D" w:rsidR="00246227" w:rsidRPr="00286CBF" w:rsidRDefault="00246227" w:rsidP="00B702EB">
      <w:pPr>
        <w:pStyle w:val="EndnoteText"/>
        <w:spacing w:line="276" w:lineRule="auto"/>
        <w:rPr>
          <w:sz w:val="16"/>
          <w:szCs w:val="16"/>
        </w:rPr>
      </w:pPr>
      <w:r w:rsidRPr="00286CBF">
        <w:rPr>
          <w:rStyle w:val="EndnoteReference"/>
          <w:sz w:val="16"/>
          <w:szCs w:val="16"/>
        </w:rPr>
        <w:endnoteRef/>
      </w:r>
      <w:r w:rsidRPr="00286CBF">
        <w:rPr>
          <w:sz w:val="16"/>
          <w:szCs w:val="16"/>
        </w:rPr>
        <w:t xml:space="preserve"> </w:t>
      </w:r>
      <w:r w:rsidR="00D67B1A" w:rsidRPr="00286CBF">
        <w:rPr>
          <w:sz w:val="16"/>
          <w:szCs w:val="16"/>
        </w:rPr>
        <w:t xml:space="preserve">Australian Broadcasting Corporation (ABC) 2026, </w:t>
      </w:r>
      <w:r w:rsidR="00D67B1A" w:rsidRPr="00286CBF">
        <w:rPr>
          <w:i/>
          <w:iCs/>
          <w:sz w:val="16"/>
          <w:szCs w:val="16"/>
        </w:rPr>
        <w:t>Former NT child protection staffers speak out amid sector’s condemnation of legislative changes</w:t>
      </w:r>
      <w:r w:rsidR="00D67B1A" w:rsidRPr="00286CBF">
        <w:rPr>
          <w:sz w:val="16"/>
          <w:szCs w:val="16"/>
        </w:rPr>
        <w:t>, ABC News, 19 May, available at: &lt;https://www.abc.net.au/news/2026-05-20/former-nt-child-protection-workers-speak-out-amid-law-changes/106698644&gt;</w:t>
      </w:r>
    </w:p>
  </w:endnote>
  <w:endnote w:id="14">
    <w:p w14:paraId="7059E4A2" w14:textId="59D29DE6" w:rsidR="00266214" w:rsidRPr="00D67B1A" w:rsidRDefault="00266214" w:rsidP="00B702EB">
      <w:pPr>
        <w:pStyle w:val="EndnoteText"/>
        <w:spacing w:line="276" w:lineRule="auto"/>
        <w:rPr>
          <w:sz w:val="16"/>
          <w:szCs w:val="16"/>
          <w:lang w:val="en-US"/>
        </w:rPr>
      </w:pPr>
      <w:r w:rsidRPr="00D67B1A">
        <w:rPr>
          <w:rStyle w:val="EndnoteReference"/>
          <w:sz w:val="16"/>
          <w:szCs w:val="16"/>
        </w:rPr>
        <w:endnoteRef/>
      </w:r>
      <w:r w:rsidRPr="00D67B1A">
        <w:rPr>
          <w:sz w:val="16"/>
          <w:szCs w:val="16"/>
        </w:rPr>
        <w:t xml:space="preserve"> </w:t>
      </w:r>
      <w:r w:rsidRPr="00D67B1A">
        <w:rPr>
          <w:sz w:val="16"/>
          <w:szCs w:val="16"/>
          <w:lang w:val="en-US"/>
        </w:rPr>
        <w:t xml:space="preserve">Australian Institute of Health and Welfare (2024). </w:t>
      </w:r>
      <w:r w:rsidRPr="00D67B1A">
        <w:rPr>
          <w:i/>
          <w:iCs/>
          <w:sz w:val="16"/>
          <w:szCs w:val="16"/>
          <w:lang w:val="en-US"/>
        </w:rPr>
        <w:t>Data tables: Child protection Australia 2023–24: Insights</w:t>
      </w:r>
      <w:r w:rsidRPr="00D67B1A">
        <w:rPr>
          <w:sz w:val="16"/>
          <w:szCs w:val="16"/>
          <w:lang w:val="en-US"/>
        </w:rPr>
        <w:t xml:space="preserve">, supplementary data Table S4.10 (‘Children </w:t>
      </w:r>
      <w:r w:rsidR="0078504F" w:rsidRPr="00D67B1A">
        <w:rPr>
          <w:sz w:val="16"/>
          <w:szCs w:val="16"/>
          <w:lang w:val="en-US"/>
        </w:rPr>
        <w:t>on</w:t>
      </w:r>
      <w:r w:rsidRPr="00D67B1A">
        <w:rPr>
          <w:sz w:val="16"/>
          <w:szCs w:val="16"/>
          <w:lang w:val="en-US"/>
        </w:rPr>
        <w:t xml:space="preserve"> care</w:t>
      </w:r>
      <w:r w:rsidR="0078504F" w:rsidRPr="00D67B1A">
        <w:rPr>
          <w:sz w:val="16"/>
          <w:szCs w:val="16"/>
          <w:lang w:val="en-US"/>
        </w:rPr>
        <w:t xml:space="preserve"> and protection orders</w:t>
      </w:r>
      <w:r w:rsidRPr="00D67B1A">
        <w:rPr>
          <w:sz w:val="16"/>
          <w:szCs w:val="16"/>
          <w:lang w:val="en-US"/>
        </w:rPr>
        <w:t xml:space="preserve">, by </w:t>
      </w:r>
      <w:r w:rsidR="0078504F" w:rsidRPr="00D67B1A">
        <w:rPr>
          <w:sz w:val="16"/>
          <w:szCs w:val="16"/>
          <w:lang w:val="en-US"/>
        </w:rPr>
        <w:t>type of order</w:t>
      </w:r>
      <w:r w:rsidRPr="00D67B1A">
        <w:rPr>
          <w:sz w:val="16"/>
          <w:szCs w:val="16"/>
          <w:lang w:val="en-US"/>
        </w:rPr>
        <w:t xml:space="preserve">, Indigenous </w:t>
      </w:r>
      <w:r w:rsidR="0078504F" w:rsidRPr="00D67B1A">
        <w:rPr>
          <w:sz w:val="16"/>
          <w:szCs w:val="16"/>
          <w:lang w:val="en-US"/>
        </w:rPr>
        <w:t>status</w:t>
      </w:r>
      <w:r w:rsidRPr="00D67B1A">
        <w:rPr>
          <w:sz w:val="16"/>
          <w:szCs w:val="16"/>
          <w:lang w:val="en-US"/>
        </w:rPr>
        <w:t xml:space="preserve"> and state or territory, 30 June </w:t>
      </w:r>
      <w:r w:rsidR="0078504F" w:rsidRPr="00D67B1A">
        <w:rPr>
          <w:sz w:val="16"/>
          <w:szCs w:val="16"/>
          <w:lang w:val="en-US"/>
        </w:rPr>
        <w:t>2024</w:t>
      </w:r>
      <w:r w:rsidRPr="00D67B1A">
        <w:rPr>
          <w:sz w:val="16"/>
          <w:szCs w:val="16"/>
          <w:lang w:val="en-US"/>
        </w:rPr>
        <w:t xml:space="preserve">’), </w:t>
      </w:r>
      <w:hyperlink r:id="rId5" w:history="1">
        <w:r w:rsidRPr="00D67B1A">
          <w:rPr>
            <w:rStyle w:val="Hyperlink"/>
            <w:sz w:val="16"/>
            <w:szCs w:val="16"/>
            <w:lang w:val="en-US"/>
          </w:rPr>
          <w:t>https://www.aihw.gov.au/reports/child-protection/child-protection-australia-2023-24/data</w:t>
        </w:r>
      </w:hyperlink>
    </w:p>
  </w:endnote>
  <w:endnote w:id="15">
    <w:p w14:paraId="5B74A803" w14:textId="77777777" w:rsidR="0042183E" w:rsidRPr="00D67B1A" w:rsidRDefault="0042183E" w:rsidP="00B702EB">
      <w:pPr>
        <w:pStyle w:val="EndnoteText"/>
        <w:spacing w:line="276" w:lineRule="auto"/>
        <w:rPr>
          <w:sz w:val="16"/>
          <w:szCs w:val="16"/>
        </w:rPr>
      </w:pPr>
      <w:r w:rsidRPr="00D67B1A">
        <w:rPr>
          <w:rStyle w:val="EndnoteReference"/>
          <w:sz w:val="16"/>
          <w:szCs w:val="16"/>
        </w:rPr>
        <w:endnoteRef/>
      </w:r>
      <w:r w:rsidRPr="00D67B1A">
        <w:rPr>
          <w:sz w:val="16"/>
          <w:szCs w:val="16"/>
        </w:rPr>
        <w:t xml:space="preserve"> Australian Institute of Health and Welfare (2025). ‘Aboriginal and Torres Strait Islander Children’, </w:t>
      </w:r>
      <w:r w:rsidRPr="00D67B1A">
        <w:rPr>
          <w:i/>
          <w:iCs/>
          <w:sz w:val="16"/>
          <w:szCs w:val="16"/>
        </w:rPr>
        <w:t>Child protection Australia 2023–24</w:t>
      </w:r>
      <w:r w:rsidRPr="00D67B1A">
        <w:rPr>
          <w:sz w:val="16"/>
          <w:szCs w:val="16"/>
        </w:rPr>
        <w:t xml:space="preserve">, </w:t>
      </w:r>
      <w:hyperlink r:id="rId6" w:history="1">
        <w:r w:rsidRPr="00D67B1A">
          <w:rPr>
            <w:rStyle w:val="Hyperlink"/>
            <w:sz w:val="16"/>
            <w:szCs w:val="16"/>
          </w:rPr>
          <w:t>https://www.aihw.gov.au/reports/child-protection/child-protection-australia-2023-24/contents/aboriginal-and-torres-strait-islander-children</w:t>
        </w:r>
      </w:hyperlink>
      <w:r w:rsidRPr="00D67B1A">
        <w:rPr>
          <w:sz w:val="16"/>
          <w:szCs w:val="16"/>
        </w:rPr>
        <w:t xml:space="preserve"> </w:t>
      </w:r>
    </w:p>
  </w:endnote>
  <w:endnote w:id="16">
    <w:p w14:paraId="45695341" w14:textId="5659EAB2" w:rsidR="00376C54" w:rsidRPr="00286CBF" w:rsidRDefault="00376C54" w:rsidP="00B702EB">
      <w:pPr>
        <w:pStyle w:val="EndnoteText"/>
        <w:spacing w:line="276" w:lineRule="auto"/>
        <w:rPr>
          <w:sz w:val="16"/>
          <w:szCs w:val="16"/>
          <w:lang w:val="en-US"/>
        </w:rPr>
      </w:pPr>
      <w:r w:rsidRPr="00286CBF">
        <w:rPr>
          <w:rStyle w:val="EndnoteReference"/>
          <w:sz w:val="16"/>
          <w:szCs w:val="16"/>
        </w:rPr>
        <w:endnoteRef/>
      </w:r>
      <w:r w:rsidRPr="00286CBF">
        <w:rPr>
          <w:sz w:val="16"/>
          <w:szCs w:val="16"/>
        </w:rPr>
        <w:t xml:space="preserve"> </w:t>
      </w:r>
      <w:r w:rsidR="005E0C23" w:rsidRPr="00286CBF">
        <w:rPr>
          <w:sz w:val="16"/>
          <w:szCs w:val="16"/>
        </w:rPr>
        <w:t xml:space="preserve">Australian Institute of Health and Welfare (2024). </w:t>
      </w:r>
      <w:r w:rsidR="005E0C23" w:rsidRPr="00286CBF">
        <w:rPr>
          <w:i/>
          <w:iCs/>
          <w:sz w:val="16"/>
          <w:szCs w:val="16"/>
        </w:rPr>
        <w:t>Data tables: Child protection 2023–24: Aboriginal and Torres Strait Islander Children</w:t>
      </w:r>
      <w:r w:rsidR="005E0C23" w:rsidRPr="00286CBF">
        <w:rPr>
          <w:sz w:val="16"/>
          <w:szCs w:val="16"/>
        </w:rPr>
        <w:t>, supplementary data Table 10.4 (‘Aboriginal and Torres Strait Islander children aged 0–17 in out-of-home care, by caregiver type and state or territory, 30 June 2017 to 2024’), </w:t>
      </w:r>
      <w:hyperlink r:id="rId7" w:tgtFrame="_blank" w:tooltip="https://www.aihw.gov.au/reports/child-protection/child-protection-australia-2023-24/data" w:history="1">
        <w:r w:rsidR="005E0C23" w:rsidRPr="00286CBF">
          <w:rPr>
            <w:rStyle w:val="Hyperlink"/>
            <w:sz w:val="16"/>
            <w:szCs w:val="16"/>
          </w:rPr>
          <w:t>https://www.aihw.gov.au/reports/child-protection/child-protection-australia-2023-24/data</w:t>
        </w:r>
      </w:hyperlink>
    </w:p>
  </w:endnote>
  <w:endnote w:id="17">
    <w:p w14:paraId="2E3C380D" w14:textId="77777777" w:rsidR="0042183E" w:rsidRPr="00D67B1A" w:rsidRDefault="0042183E" w:rsidP="00B702EB">
      <w:pPr>
        <w:pStyle w:val="EndnoteText"/>
        <w:spacing w:line="276" w:lineRule="auto"/>
        <w:rPr>
          <w:sz w:val="16"/>
          <w:szCs w:val="16"/>
        </w:rPr>
      </w:pPr>
      <w:r w:rsidRPr="00D67B1A">
        <w:rPr>
          <w:rStyle w:val="EndnoteReference"/>
          <w:sz w:val="16"/>
          <w:szCs w:val="16"/>
        </w:rPr>
        <w:endnoteRef/>
      </w:r>
      <w:r w:rsidRPr="00D67B1A">
        <w:rPr>
          <w:sz w:val="16"/>
          <w:szCs w:val="16"/>
        </w:rPr>
        <w:t xml:space="preserve"> Yaqoot, F., et al. (2022). ‘Cultural Identity and Social and Emotional Wellbeing in Aboriginal and Torres Strait </w:t>
      </w:r>
    </w:p>
    <w:p w14:paraId="573F1187" w14:textId="77777777" w:rsidR="0042183E" w:rsidRPr="00D67B1A" w:rsidRDefault="0042183E" w:rsidP="00B702EB">
      <w:pPr>
        <w:pStyle w:val="EndnoteText"/>
        <w:spacing w:line="276" w:lineRule="auto"/>
        <w:rPr>
          <w:sz w:val="16"/>
          <w:szCs w:val="16"/>
          <w:lang w:val="en-US"/>
        </w:rPr>
      </w:pPr>
      <w:r w:rsidRPr="00D67B1A">
        <w:rPr>
          <w:sz w:val="16"/>
          <w:szCs w:val="16"/>
        </w:rPr>
        <w:t xml:space="preserve">Islander Children’, Chapter 4, in Baxter, J., et al. </w:t>
      </w:r>
      <w:r w:rsidRPr="00D67B1A">
        <w:rPr>
          <w:i/>
          <w:iCs/>
          <w:sz w:val="16"/>
          <w:szCs w:val="16"/>
        </w:rPr>
        <w:t>(Eds)</w:t>
      </w:r>
      <w:r w:rsidRPr="00D67B1A">
        <w:rPr>
          <w:sz w:val="16"/>
          <w:szCs w:val="16"/>
        </w:rPr>
        <w:t xml:space="preserve">, </w:t>
      </w:r>
      <w:r w:rsidRPr="00D67B1A">
        <w:rPr>
          <w:i/>
          <w:iCs/>
          <w:sz w:val="16"/>
          <w:szCs w:val="16"/>
        </w:rPr>
        <w:t>Family Dynamics over the Life Course</w:t>
      </w:r>
      <w:r w:rsidRPr="00D67B1A">
        <w:rPr>
          <w:sz w:val="16"/>
          <w:szCs w:val="16"/>
        </w:rPr>
        <w:t xml:space="preserve">, Life Course Research and Social Policies, Vol 15, </w:t>
      </w:r>
      <w:hyperlink r:id="rId8" w:history="1">
        <w:r w:rsidRPr="00D67B1A">
          <w:rPr>
            <w:rStyle w:val="Hyperlink"/>
            <w:sz w:val="16"/>
            <w:szCs w:val="16"/>
          </w:rPr>
          <w:t>https://link.springer.com/book/10.1007/978-3-031-12224-8</w:t>
        </w:r>
      </w:hyperlink>
      <w:r w:rsidRPr="00D67B1A">
        <w:rPr>
          <w:sz w:val="16"/>
          <w:szCs w:val="16"/>
        </w:rPr>
        <w:t xml:space="preserve"> </w:t>
      </w:r>
    </w:p>
  </w:endnote>
  <w:endnote w:id="18">
    <w:p w14:paraId="29905AD6" w14:textId="77777777" w:rsidR="0042183E" w:rsidRPr="00D67B1A" w:rsidRDefault="0042183E" w:rsidP="00B702EB">
      <w:pPr>
        <w:pStyle w:val="EndnoteText"/>
        <w:spacing w:line="276" w:lineRule="auto"/>
        <w:rPr>
          <w:sz w:val="16"/>
          <w:szCs w:val="16"/>
        </w:rPr>
      </w:pPr>
      <w:r w:rsidRPr="00D67B1A">
        <w:rPr>
          <w:rStyle w:val="EndnoteReference"/>
          <w:sz w:val="16"/>
          <w:szCs w:val="16"/>
        </w:rPr>
        <w:endnoteRef/>
      </w:r>
      <w:r w:rsidRPr="00D67B1A">
        <w:rPr>
          <w:sz w:val="16"/>
          <w:szCs w:val="16"/>
        </w:rPr>
        <w:t xml:space="preserve"> Yaqoot, F., et al. (2022). ‘Cultural Identity and Social and Emotional Wellbeing in Aboriginal and Torres Strait </w:t>
      </w:r>
    </w:p>
    <w:p w14:paraId="21F981B6" w14:textId="77777777" w:rsidR="0042183E" w:rsidRPr="00D67B1A" w:rsidRDefault="0042183E" w:rsidP="00B702EB">
      <w:pPr>
        <w:pStyle w:val="EndnoteText"/>
        <w:spacing w:line="276" w:lineRule="auto"/>
        <w:rPr>
          <w:sz w:val="16"/>
          <w:szCs w:val="16"/>
          <w:lang w:val="en-US"/>
        </w:rPr>
      </w:pPr>
      <w:r w:rsidRPr="00D67B1A">
        <w:rPr>
          <w:sz w:val="16"/>
          <w:szCs w:val="16"/>
        </w:rPr>
        <w:t xml:space="preserve">Islander Children’, Chapter 4, in Baxter, J., et al. </w:t>
      </w:r>
      <w:r w:rsidRPr="00D67B1A">
        <w:rPr>
          <w:i/>
          <w:iCs/>
          <w:sz w:val="16"/>
          <w:szCs w:val="16"/>
        </w:rPr>
        <w:t>(Eds)</w:t>
      </w:r>
      <w:r w:rsidRPr="00D67B1A">
        <w:rPr>
          <w:sz w:val="16"/>
          <w:szCs w:val="16"/>
        </w:rPr>
        <w:t xml:space="preserve">, </w:t>
      </w:r>
      <w:r w:rsidRPr="00D67B1A">
        <w:rPr>
          <w:i/>
          <w:iCs/>
          <w:sz w:val="16"/>
          <w:szCs w:val="16"/>
        </w:rPr>
        <w:t>Family Dynamics over the Life Course</w:t>
      </w:r>
      <w:r w:rsidRPr="00D67B1A">
        <w:rPr>
          <w:sz w:val="16"/>
          <w:szCs w:val="16"/>
        </w:rPr>
        <w:t xml:space="preserve">, Life Course Research and Social Policies, Vol 15, </w:t>
      </w:r>
      <w:hyperlink r:id="rId9" w:history="1">
        <w:r w:rsidRPr="00D67B1A">
          <w:rPr>
            <w:rStyle w:val="Hyperlink"/>
            <w:sz w:val="16"/>
            <w:szCs w:val="16"/>
          </w:rPr>
          <w:t>https://link.springer.com/book/10.1007/978-3-031-12224-8</w:t>
        </w:r>
      </w:hyperlink>
    </w:p>
  </w:endnote>
  <w:endnote w:id="19">
    <w:p w14:paraId="7BF1DEE8" w14:textId="77777777" w:rsidR="0042183E" w:rsidRPr="00D67B1A" w:rsidRDefault="0042183E" w:rsidP="00B702EB">
      <w:pPr>
        <w:pStyle w:val="EndnoteText"/>
        <w:spacing w:line="276" w:lineRule="auto"/>
        <w:rPr>
          <w:sz w:val="16"/>
          <w:szCs w:val="16"/>
          <w:lang w:val="en-US"/>
        </w:rPr>
      </w:pPr>
      <w:r w:rsidRPr="00D67B1A">
        <w:rPr>
          <w:rStyle w:val="EndnoteReference"/>
          <w:sz w:val="16"/>
          <w:szCs w:val="16"/>
        </w:rPr>
        <w:endnoteRef/>
      </w:r>
      <w:r w:rsidRPr="00D67B1A">
        <w:rPr>
          <w:sz w:val="16"/>
          <w:szCs w:val="16"/>
        </w:rPr>
        <w:t xml:space="preserve"> SNAICC (2017). </w:t>
      </w:r>
      <w:r w:rsidRPr="00D67B1A">
        <w:rPr>
          <w:i/>
          <w:iCs/>
          <w:sz w:val="16"/>
          <w:szCs w:val="16"/>
        </w:rPr>
        <w:t>Understanding and Applying the Aboriginal and Torres Strait Islander Child Placement Principle</w:t>
      </w:r>
      <w:r w:rsidRPr="00D67B1A">
        <w:rPr>
          <w:sz w:val="16"/>
          <w:szCs w:val="16"/>
        </w:rPr>
        <w:t xml:space="preserve">, </w:t>
      </w:r>
      <w:hyperlink r:id="rId10" w:history="1">
        <w:r w:rsidRPr="00D67B1A">
          <w:rPr>
            <w:rStyle w:val="Hyperlink"/>
            <w:sz w:val="16"/>
            <w:szCs w:val="16"/>
          </w:rPr>
          <w:t>https://www.snaicc.org.au/resources/understanding-and-applying-the-aboriginal-and-torres-strait-islander-child-placement-principle-a-resource-for-legislation-policy-and-program-development/</w:t>
        </w:r>
      </w:hyperlink>
    </w:p>
  </w:endnote>
  <w:endnote w:id="20">
    <w:p w14:paraId="67736EEE" w14:textId="57360564" w:rsidR="004174C2" w:rsidRPr="00D67B1A" w:rsidRDefault="004174C2" w:rsidP="00B702EB">
      <w:pPr>
        <w:pStyle w:val="EndnoteText"/>
        <w:spacing w:line="276" w:lineRule="auto"/>
        <w:rPr>
          <w:sz w:val="16"/>
          <w:szCs w:val="16"/>
          <w:lang w:val="en-US"/>
        </w:rPr>
      </w:pPr>
      <w:r w:rsidRPr="00D67B1A">
        <w:rPr>
          <w:rStyle w:val="EndnoteReference"/>
          <w:sz w:val="16"/>
          <w:szCs w:val="16"/>
        </w:rPr>
        <w:endnoteRef/>
      </w:r>
      <w:r w:rsidRPr="00D67B1A">
        <w:rPr>
          <w:i/>
          <w:iCs/>
          <w:sz w:val="16"/>
          <w:szCs w:val="16"/>
        </w:rPr>
        <w:t>Care and Protection of Children Legislation Amendment (Every Child Matters) Bill 2026</w:t>
      </w:r>
      <w:r w:rsidRPr="00D67B1A">
        <w:rPr>
          <w:sz w:val="16"/>
          <w:szCs w:val="16"/>
        </w:rPr>
        <w:t xml:space="preserve"> (NT) s 12D.</w:t>
      </w:r>
    </w:p>
  </w:endnote>
  <w:endnote w:id="21">
    <w:p w14:paraId="685A689B" w14:textId="197710CA" w:rsidR="009B6193" w:rsidRPr="00D67B1A" w:rsidRDefault="009B6193" w:rsidP="00B702EB">
      <w:pPr>
        <w:pStyle w:val="EndnoteText"/>
        <w:spacing w:line="276" w:lineRule="auto"/>
        <w:rPr>
          <w:sz w:val="16"/>
          <w:szCs w:val="16"/>
          <w:lang w:val="en-US"/>
        </w:rPr>
      </w:pPr>
      <w:r w:rsidRPr="00D67B1A">
        <w:rPr>
          <w:rStyle w:val="EndnoteReference"/>
          <w:sz w:val="16"/>
          <w:szCs w:val="16"/>
        </w:rPr>
        <w:endnoteRef/>
      </w:r>
      <w:r w:rsidRPr="00D67B1A">
        <w:rPr>
          <w:sz w:val="16"/>
          <w:szCs w:val="16"/>
        </w:rPr>
        <w:t xml:space="preserve"> </w:t>
      </w:r>
      <w:r w:rsidRPr="00D67B1A">
        <w:rPr>
          <w:sz w:val="16"/>
          <w:szCs w:val="16"/>
          <w:lang w:val="en-US"/>
        </w:rPr>
        <w:t>Ibid, s 130(1)</w:t>
      </w:r>
      <w:r w:rsidR="00687B45" w:rsidRPr="00D67B1A">
        <w:rPr>
          <w:sz w:val="16"/>
          <w:szCs w:val="16"/>
          <w:lang w:val="en-US"/>
        </w:rPr>
        <w:t>.</w:t>
      </w:r>
    </w:p>
  </w:endnote>
  <w:endnote w:id="22">
    <w:p w14:paraId="0901688A" w14:textId="77777777" w:rsidR="0042183E" w:rsidRPr="00D67B1A" w:rsidRDefault="0042183E" w:rsidP="00B702EB">
      <w:pPr>
        <w:pStyle w:val="EndnoteText"/>
        <w:spacing w:line="276" w:lineRule="auto"/>
        <w:rPr>
          <w:sz w:val="16"/>
          <w:szCs w:val="16"/>
        </w:rPr>
      </w:pPr>
      <w:r w:rsidRPr="00D67B1A">
        <w:rPr>
          <w:rStyle w:val="EndnoteReference"/>
          <w:sz w:val="16"/>
          <w:szCs w:val="16"/>
        </w:rPr>
        <w:endnoteRef/>
      </w:r>
      <w:r w:rsidRPr="00D67B1A">
        <w:rPr>
          <w:sz w:val="16"/>
          <w:szCs w:val="16"/>
        </w:rPr>
        <w:t xml:space="preserve"> Senate Community Affairs References Committee (2015) Out of home care, </w:t>
      </w:r>
      <w:hyperlink r:id="rId11" w:history="1">
        <w:r w:rsidRPr="00D67B1A">
          <w:rPr>
            <w:rStyle w:val="Hyperlink"/>
            <w:sz w:val="16"/>
            <w:szCs w:val="16"/>
          </w:rPr>
          <w:t>https://www.aph.gov.au/Parliamentary_Business/Committees/Senate/Community_Affairs/Out_of_home_care/~/media/Committees/clac_ctte/Out_of_home_care/report.pdf</w:t>
        </w:r>
      </w:hyperlink>
      <w:r w:rsidRPr="00D67B1A">
        <w:rPr>
          <w:sz w:val="16"/>
          <w:szCs w:val="16"/>
        </w:rPr>
        <w:t xml:space="preserve"> </w:t>
      </w:r>
    </w:p>
  </w:endnote>
  <w:endnote w:id="23">
    <w:p w14:paraId="1F4AFB6A" w14:textId="7E6DE386" w:rsidR="00072292" w:rsidRPr="00D67B1A" w:rsidRDefault="00072292" w:rsidP="00B702EB">
      <w:pPr>
        <w:pStyle w:val="EndnoteText"/>
        <w:spacing w:line="276" w:lineRule="auto"/>
        <w:rPr>
          <w:sz w:val="16"/>
          <w:szCs w:val="16"/>
          <w:lang w:val="en-US"/>
        </w:rPr>
      </w:pPr>
      <w:r w:rsidRPr="00D67B1A">
        <w:rPr>
          <w:rStyle w:val="EndnoteReference"/>
          <w:sz w:val="16"/>
          <w:szCs w:val="16"/>
        </w:rPr>
        <w:endnoteRef/>
      </w:r>
      <w:r w:rsidRPr="00D67B1A">
        <w:rPr>
          <w:i/>
          <w:iCs/>
          <w:sz w:val="16"/>
          <w:szCs w:val="16"/>
        </w:rPr>
        <w:t xml:space="preserve"> Care and Protection of Children Legislation Amendment (Every Child Matters) Bill 2026</w:t>
      </w:r>
      <w:r w:rsidRPr="00D67B1A">
        <w:rPr>
          <w:sz w:val="16"/>
          <w:szCs w:val="16"/>
        </w:rPr>
        <w:t xml:space="preserve"> (NT) s 65A.</w:t>
      </w:r>
    </w:p>
  </w:endnote>
  <w:endnote w:id="24">
    <w:p w14:paraId="092DCE7C" w14:textId="693FD92E" w:rsidR="009C363D" w:rsidRPr="00D67B1A" w:rsidRDefault="009C363D" w:rsidP="00B702EB">
      <w:pPr>
        <w:pStyle w:val="EndnoteText"/>
        <w:spacing w:line="276" w:lineRule="auto"/>
        <w:rPr>
          <w:sz w:val="16"/>
          <w:szCs w:val="16"/>
          <w:lang w:val="en-US"/>
        </w:rPr>
      </w:pPr>
      <w:r w:rsidRPr="00D67B1A">
        <w:rPr>
          <w:rStyle w:val="EndnoteReference"/>
          <w:sz w:val="16"/>
          <w:szCs w:val="16"/>
        </w:rPr>
        <w:endnoteRef/>
      </w:r>
      <w:r w:rsidRPr="00D67B1A">
        <w:rPr>
          <w:sz w:val="16"/>
          <w:szCs w:val="16"/>
        </w:rPr>
        <w:t xml:space="preserve"> </w:t>
      </w:r>
      <w:r w:rsidRPr="00D67B1A">
        <w:rPr>
          <w:sz w:val="16"/>
          <w:szCs w:val="16"/>
          <w:lang w:val="en-US"/>
        </w:rPr>
        <w:t>Ibid, s 102</w:t>
      </w:r>
      <w:r w:rsidR="00646F5F" w:rsidRPr="00D67B1A">
        <w:rPr>
          <w:sz w:val="16"/>
          <w:szCs w:val="16"/>
          <w:lang w:val="en-US"/>
        </w:rPr>
        <w:t>E</w:t>
      </w:r>
      <w:r w:rsidR="00687B45" w:rsidRPr="00D67B1A">
        <w:rPr>
          <w:sz w:val="16"/>
          <w:szCs w:val="16"/>
          <w:lang w:val="en-US"/>
        </w:rPr>
        <w:t>.</w:t>
      </w:r>
    </w:p>
  </w:endnote>
  <w:endnote w:id="25">
    <w:p w14:paraId="2C7A26FB" w14:textId="694237C5" w:rsidR="00646F5F" w:rsidRPr="00D67B1A" w:rsidRDefault="00646F5F" w:rsidP="00B702EB">
      <w:pPr>
        <w:pStyle w:val="EndnoteText"/>
        <w:spacing w:line="276" w:lineRule="auto"/>
        <w:rPr>
          <w:sz w:val="16"/>
          <w:szCs w:val="16"/>
          <w:lang w:val="en-US"/>
        </w:rPr>
      </w:pPr>
      <w:r w:rsidRPr="00D67B1A">
        <w:rPr>
          <w:rStyle w:val="EndnoteReference"/>
          <w:sz w:val="16"/>
          <w:szCs w:val="16"/>
        </w:rPr>
        <w:endnoteRef/>
      </w:r>
      <w:r w:rsidRPr="00D67B1A">
        <w:rPr>
          <w:sz w:val="16"/>
          <w:szCs w:val="16"/>
        </w:rPr>
        <w:t xml:space="preserve"> Ibid, s 102</w:t>
      </w:r>
      <w:r w:rsidR="00227506">
        <w:rPr>
          <w:sz w:val="16"/>
          <w:szCs w:val="16"/>
        </w:rPr>
        <w:t>L</w:t>
      </w:r>
      <w:r w:rsidR="00687B45" w:rsidRPr="00D67B1A">
        <w:rPr>
          <w:sz w:val="16"/>
          <w:szCs w:val="16"/>
        </w:rPr>
        <w:t>.</w:t>
      </w:r>
    </w:p>
  </w:endnote>
  <w:endnote w:id="26">
    <w:p w14:paraId="4E83F646" w14:textId="3C89C0EE" w:rsidR="00646F5F" w:rsidRPr="00D67B1A" w:rsidRDefault="00646F5F" w:rsidP="00B702EB">
      <w:pPr>
        <w:pStyle w:val="EndnoteText"/>
        <w:spacing w:line="276" w:lineRule="auto"/>
        <w:rPr>
          <w:sz w:val="16"/>
          <w:szCs w:val="16"/>
          <w:lang w:val="en-US"/>
        </w:rPr>
      </w:pPr>
      <w:r w:rsidRPr="00D67B1A">
        <w:rPr>
          <w:rStyle w:val="EndnoteReference"/>
          <w:sz w:val="16"/>
          <w:szCs w:val="16"/>
        </w:rPr>
        <w:endnoteRef/>
      </w:r>
      <w:r w:rsidR="00EA5D02" w:rsidRPr="00D67B1A">
        <w:rPr>
          <w:sz w:val="16"/>
          <w:szCs w:val="16"/>
        </w:rPr>
        <w:t xml:space="preserve"> </w:t>
      </w:r>
      <w:r w:rsidRPr="00D67B1A">
        <w:rPr>
          <w:sz w:val="16"/>
          <w:szCs w:val="16"/>
        </w:rPr>
        <w:t>Ibid, s 65</w:t>
      </w:r>
      <w:r w:rsidR="00975B33" w:rsidRPr="00D67B1A">
        <w:rPr>
          <w:sz w:val="16"/>
          <w:szCs w:val="16"/>
        </w:rPr>
        <w:t>E</w:t>
      </w:r>
      <w:r w:rsidR="00687B45" w:rsidRPr="00D67B1A">
        <w:rPr>
          <w:sz w:val="16"/>
          <w:szCs w:val="16"/>
        </w:rPr>
        <w:t>.</w:t>
      </w:r>
      <w:r w:rsidRPr="00D67B1A">
        <w:rPr>
          <w:sz w:val="16"/>
          <w:szCs w:val="16"/>
        </w:rPr>
        <w:t xml:space="preserve"> </w:t>
      </w:r>
    </w:p>
  </w:endnote>
  <w:endnote w:id="27">
    <w:p w14:paraId="4088F868" w14:textId="04D6F44D" w:rsidR="000A3595" w:rsidRPr="00D67B1A" w:rsidRDefault="000A3595" w:rsidP="00B702EB">
      <w:pPr>
        <w:pStyle w:val="EndnoteText"/>
        <w:spacing w:line="276" w:lineRule="auto"/>
        <w:rPr>
          <w:sz w:val="16"/>
          <w:szCs w:val="16"/>
          <w:lang w:val="en-US"/>
        </w:rPr>
      </w:pPr>
      <w:r w:rsidRPr="00D67B1A">
        <w:rPr>
          <w:rStyle w:val="EndnoteReference"/>
          <w:sz w:val="16"/>
          <w:szCs w:val="16"/>
        </w:rPr>
        <w:endnoteRef/>
      </w:r>
      <w:r w:rsidR="00A53C80" w:rsidRPr="00D67B1A">
        <w:rPr>
          <w:sz w:val="16"/>
          <w:szCs w:val="16"/>
        </w:rPr>
        <w:t xml:space="preserve">Australian Institute of Health and Welfare (2024) </w:t>
      </w:r>
      <w:r w:rsidR="00A53C80" w:rsidRPr="00D67B1A">
        <w:rPr>
          <w:i/>
          <w:iCs/>
          <w:sz w:val="16"/>
          <w:szCs w:val="16"/>
        </w:rPr>
        <w:t>Young people under youth justice supervision and their interaction with the child protection system 2022–23</w:t>
      </w:r>
      <w:r w:rsidR="00A53C80" w:rsidRPr="00D67B1A">
        <w:rPr>
          <w:sz w:val="16"/>
          <w:szCs w:val="16"/>
        </w:rPr>
        <w:t>. Canberra: AIHW. Available at:</w:t>
      </w:r>
      <w:r w:rsidRPr="00D67B1A">
        <w:rPr>
          <w:sz w:val="16"/>
          <w:szCs w:val="16"/>
        </w:rPr>
        <w:t xml:space="preserve"> </w:t>
      </w:r>
      <w:hyperlink r:id="rId12" w:history="1">
        <w:r w:rsidR="00B6282E" w:rsidRPr="00D67B1A">
          <w:rPr>
            <w:rStyle w:val="Hyperlink"/>
            <w:sz w:val="16"/>
            <w:szCs w:val="16"/>
          </w:rPr>
          <w:t>https://www.aihw.gov.au/reports/youth-justice/young-people-youth-justice-supervision-2022-23/summary</w:t>
        </w:r>
      </w:hyperlink>
      <w:r w:rsidR="00B6282E" w:rsidRPr="00D67B1A">
        <w:rPr>
          <w:sz w:val="16"/>
          <w:szCs w:val="16"/>
        </w:rPr>
        <w:t xml:space="preserve"> </w:t>
      </w:r>
    </w:p>
  </w:endnote>
  <w:endnote w:id="28">
    <w:p w14:paraId="58893240" w14:textId="474B078F" w:rsidR="008621DA" w:rsidRPr="00286CBF" w:rsidRDefault="008621DA" w:rsidP="00B702EB">
      <w:pPr>
        <w:pStyle w:val="EndnoteText"/>
        <w:spacing w:line="276" w:lineRule="auto"/>
        <w:rPr>
          <w:lang w:val="en-US"/>
        </w:rPr>
      </w:pPr>
      <w:r w:rsidRPr="00286CBF">
        <w:rPr>
          <w:rStyle w:val="EndnoteReference"/>
          <w:sz w:val="16"/>
          <w:szCs w:val="16"/>
        </w:rPr>
        <w:endnoteRef/>
      </w:r>
      <w:r w:rsidRPr="00286CBF">
        <w:rPr>
          <w:sz w:val="16"/>
          <w:szCs w:val="16"/>
        </w:rPr>
        <w:t xml:space="preserve"> </w:t>
      </w:r>
      <w:r w:rsidRPr="00D67B1A">
        <w:rPr>
          <w:i/>
          <w:iCs/>
          <w:sz w:val="16"/>
          <w:szCs w:val="16"/>
        </w:rPr>
        <w:t>Care and Protection of Children Legislation Amendment (Every Child Matters) Bill 2026</w:t>
      </w:r>
      <w:r w:rsidRPr="00D67B1A">
        <w:rPr>
          <w:sz w:val="16"/>
          <w:szCs w:val="16"/>
        </w:rPr>
        <w:t xml:space="preserve"> (NT) s</w:t>
      </w:r>
      <w:r w:rsidR="002A06B2">
        <w:rPr>
          <w:sz w:val="16"/>
          <w:szCs w:val="16"/>
        </w:rPr>
        <w:t xml:space="preserve"> 32(1)</w:t>
      </w:r>
      <w:r w:rsidRPr="00D67B1A">
        <w:rPr>
          <w:sz w:val="16"/>
          <w:szCs w:val="16"/>
        </w:rPr>
        <w:t>.</w:t>
      </w:r>
    </w:p>
  </w:endnote>
  <w:endnote w:id="29">
    <w:p w14:paraId="53E2CA3F" w14:textId="57C53054" w:rsidR="00975B33" w:rsidRPr="00D67B1A" w:rsidRDefault="00975B33" w:rsidP="00B702EB">
      <w:pPr>
        <w:pStyle w:val="EndnoteText"/>
        <w:spacing w:line="276" w:lineRule="auto"/>
        <w:rPr>
          <w:sz w:val="16"/>
          <w:szCs w:val="16"/>
          <w:lang w:val="en-US"/>
        </w:rPr>
      </w:pPr>
      <w:r w:rsidRPr="00D67B1A">
        <w:rPr>
          <w:rStyle w:val="EndnoteReference"/>
          <w:sz w:val="16"/>
          <w:szCs w:val="16"/>
        </w:rPr>
        <w:endnoteRef/>
      </w:r>
      <w:r w:rsidR="00E33E6F">
        <w:rPr>
          <w:sz w:val="16"/>
          <w:szCs w:val="16"/>
        </w:rPr>
        <w:t xml:space="preserve"> Ibid, </w:t>
      </w:r>
      <w:r w:rsidRPr="00D67B1A">
        <w:rPr>
          <w:sz w:val="16"/>
          <w:szCs w:val="16"/>
        </w:rPr>
        <w:t>s 65D.</w:t>
      </w:r>
    </w:p>
  </w:endnote>
  <w:endnote w:id="30">
    <w:p w14:paraId="6257F95F" w14:textId="4E74752E" w:rsidR="006204CF" w:rsidRPr="00286CBF" w:rsidRDefault="006204CF" w:rsidP="00B702EB">
      <w:pPr>
        <w:pStyle w:val="EndnoteText"/>
        <w:spacing w:line="276" w:lineRule="auto"/>
        <w:rPr>
          <w:lang w:val="en-US"/>
        </w:rPr>
      </w:pPr>
      <w:r w:rsidRPr="00286CBF">
        <w:rPr>
          <w:rStyle w:val="EndnoteReference"/>
          <w:sz w:val="16"/>
          <w:szCs w:val="16"/>
        </w:rPr>
        <w:endnoteRef/>
      </w:r>
      <w:r w:rsidRPr="00286CBF">
        <w:rPr>
          <w:sz w:val="16"/>
          <w:szCs w:val="16"/>
        </w:rPr>
        <w:t xml:space="preserve"> Ibid, s </w:t>
      </w:r>
      <w:r w:rsidR="00411E76" w:rsidRPr="00286CBF">
        <w:rPr>
          <w:sz w:val="16"/>
          <w:szCs w:val="16"/>
        </w:rPr>
        <w:t>102K(2).</w:t>
      </w:r>
    </w:p>
  </w:endnote>
  <w:endnote w:id="31">
    <w:p w14:paraId="273F4E9E" w14:textId="489AB5C9" w:rsidR="00522F97" w:rsidRPr="00B702EB" w:rsidRDefault="00522F97" w:rsidP="00B702EB">
      <w:pPr>
        <w:pStyle w:val="EndnoteText"/>
        <w:spacing w:line="276" w:lineRule="auto"/>
        <w:rPr>
          <w:sz w:val="16"/>
          <w:szCs w:val="16"/>
          <w:lang w:val="en-US"/>
        </w:rPr>
      </w:pPr>
      <w:r w:rsidRPr="00B702EB">
        <w:rPr>
          <w:rStyle w:val="EndnoteReference"/>
          <w:sz w:val="16"/>
          <w:szCs w:val="16"/>
        </w:rPr>
        <w:endnoteRef/>
      </w:r>
      <w:r w:rsidRPr="00B702EB">
        <w:rPr>
          <w:sz w:val="16"/>
          <w:szCs w:val="16"/>
        </w:rPr>
        <w:t xml:space="preserve"> </w:t>
      </w:r>
      <w:r w:rsidR="00EE43A5" w:rsidRPr="00EE43A5">
        <w:rPr>
          <w:sz w:val="16"/>
          <w:szCs w:val="16"/>
          <w:lang w:val="en-US"/>
        </w:rPr>
        <w:t xml:space="preserve">Human Rights and Equal Opportunity Commission (1997). ‘Chapter 11 The Effects’. </w:t>
      </w:r>
      <w:r w:rsidR="00EE43A5" w:rsidRPr="00EE43A5">
        <w:rPr>
          <w:i/>
          <w:iCs/>
          <w:sz w:val="16"/>
          <w:szCs w:val="16"/>
          <w:lang w:val="en-US"/>
        </w:rPr>
        <w:t>Bringing them Home: Report of the National Inquiry into the Separation of Aboriginal and Torres Strait Islander Children from Their Families, https://humanrights.gov.au/bringing-them-home/the-report/part-3-consequences-of-removal/chapter-11-the-effects.html</w:t>
      </w:r>
    </w:p>
  </w:endnote>
  <w:endnote w:id="32">
    <w:p w14:paraId="7EF5724E" w14:textId="77777777" w:rsidR="0021664C" w:rsidRPr="006E69F0" w:rsidRDefault="0021664C" w:rsidP="00B702EB">
      <w:pPr>
        <w:pStyle w:val="EndnoteText"/>
        <w:spacing w:line="276" w:lineRule="auto"/>
        <w:rPr>
          <w:lang w:val="en-US"/>
        </w:rPr>
      </w:pPr>
      <w:r w:rsidRPr="00D67B1A">
        <w:rPr>
          <w:rStyle w:val="EndnoteReference"/>
          <w:sz w:val="16"/>
          <w:szCs w:val="16"/>
        </w:rPr>
        <w:endnoteRef/>
      </w:r>
      <w:r w:rsidRPr="00D67B1A">
        <w:rPr>
          <w:sz w:val="16"/>
          <w:szCs w:val="16"/>
        </w:rPr>
        <w:t xml:space="preserve"> Australian Government Productivity Commission (2024). </w:t>
      </w:r>
      <w:r w:rsidRPr="00D67B1A">
        <w:rPr>
          <w:i/>
          <w:iCs/>
          <w:sz w:val="16"/>
          <w:szCs w:val="16"/>
        </w:rPr>
        <w:t xml:space="preserve">Review of the National Agreement on Closing the Gap, </w:t>
      </w:r>
      <w:r w:rsidRPr="00D67B1A">
        <w:rPr>
          <w:sz w:val="16"/>
          <w:szCs w:val="16"/>
        </w:rPr>
        <w:t xml:space="preserve">Study report, Vol 1, </w:t>
      </w:r>
      <w:hyperlink r:id="rId13" w:history="1">
        <w:r w:rsidRPr="00D67B1A">
          <w:rPr>
            <w:rStyle w:val="Hyperlink"/>
            <w:sz w:val="16"/>
            <w:szCs w:val="16"/>
          </w:rPr>
          <w:t>https://assets.pc.gov.au/inquiries/completed/closing-the-gap-review/report/closing-the-gap-review-report.pdf</w:t>
        </w:r>
      </w:hyperlink>
      <w:r w:rsidRPr="00D67B1A">
        <w:rPr>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83A3" w14:textId="77777777" w:rsidR="004E0ECA" w:rsidRDefault="004E0ECA" w:rsidP="00A6010E">
      <w:pPr>
        <w:spacing w:after="0" w:line="240" w:lineRule="auto"/>
      </w:pPr>
      <w:r>
        <w:separator/>
      </w:r>
    </w:p>
  </w:footnote>
  <w:footnote w:type="continuationSeparator" w:id="0">
    <w:p w14:paraId="3864DC49" w14:textId="77777777" w:rsidR="004E0ECA" w:rsidRDefault="004E0ECA" w:rsidP="00A60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2C17AC"/>
    <w:lvl w:ilvl="0">
      <w:start w:val="1"/>
      <w:numFmt w:val="decimal"/>
      <w:lvlText w:val="%1."/>
      <w:lvlJc w:val="left"/>
      <w:pPr>
        <w:tabs>
          <w:tab w:val="num" w:pos="360"/>
        </w:tabs>
        <w:ind w:left="360" w:hanging="360"/>
      </w:pPr>
    </w:lvl>
  </w:abstractNum>
  <w:abstractNum w:abstractNumId="1" w15:restartNumberingAfterBreak="0">
    <w:nsid w:val="0543157D"/>
    <w:multiLevelType w:val="multilevel"/>
    <w:tmpl w:val="2CC8475C"/>
    <w:lvl w:ilvl="0">
      <w:start w:val="1"/>
      <w:numFmt w:val="decimal"/>
      <w:lvlText w:val="%1."/>
      <w:lvlJc w:val="left"/>
      <w:pPr>
        <w:tabs>
          <w:tab w:val="num" w:pos="340"/>
        </w:tabs>
        <w:ind w:left="227" w:hanging="227"/>
      </w:pPr>
      <w:rPr>
        <w:rFonts w:hint="default"/>
      </w:rPr>
    </w:lvl>
    <w:lvl w:ilvl="1">
      <w:start w:val="1"/>
      <w:numFmt w:val="lowerLetter"/>
      <w:lvlText w:val="%2."/>
      <w:lvlJc w:val="left"/>
      <w:pPr>
        <w:ind w:left="567" w:hanging="207"/>
      </w:pPr>
      <w:rPr>
        <w:rFonts w:hint="default"/>
      </w:rPr>
    </w:lvl>
    <w:lvl w:ilvl="2">
      <w:start w:val="1"/>
      <w:numFmt w:val="bullet"/>
      <w:lvlText w:val=""/>
      <w:lvlJc w:val="left"/>
      <w:pPr>
        <w:ind w:left="907" w:hanging="340"/>
      </w:pPr>
      <w:rPr>
        <w:rFonts w:ascii="Symbol" w:hAnsi="Symbol" w:hint="default"/>
        <w:color w:val="auto"/>
      </w:rPr>
    </w:lvl>
    <w:lvl w:ilvl="3">
      <w:start w:val="1"/>
      <w:numFmt w:val="bullet"/>
      <w:lvlText w:val=""/>
      <w:lvlJc w:val="left"/>
      <w:pPr>
        <w:ind w:left="1304" w:hanging="397"/>
      </w:pPr>
      <w:rPr>
        <w:rFonts w:ascii="Symbol" w:hAnsi="Symbol" w:hint="default"/>
        <w:color w:val="auto"/>
      </w:rPr>
    </w:lvl>
    <w:lvl w:ilvl="4">
      <w:start w:val="1"/>
      <w:numFmt w:val="lowerLetter"/>
      <w:lvlText w:val="(%5)"/>
      <w:lvlJc w:val="left"/>
      <w:pPr>
        <w:ind w:left="164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5F3F0B"/>
    <w:multiLevelType w:val="multilevel"/>
    <w:tmpl w:val="3B7C4FF0"/>
    <w:styleLink w:val="MultiList"/>
    <w:lvl w:ilvl="0">
      <w:start w:val="1"/>
      <w:numFmt w:val="decimal"/>
      <w:pStyle w:val="NumberParagraph"/>
      <w:lvlText w:val="%1."/>
      <w:lvlJc w:val="left"/>
      <w:pPr>
        <w:ind w:left="567" w:hanging="283"/>
      </w:pPr>
      <w:rPr>
        <w:rFonts w:hint="default"/>
        <w:color w:val="auto"/>
      </w:rPr>
    </w:lvl>
    <w:lvl w:ilvl="1">
      <w:start w:val="1"/>
      <w:numFmt w:val="lowerLetter"/>
      <w:lvlRestart w:val="0"/>
      <w:pStyle w:val="NumberParagraph2"/>
      <w:lvlText w:val="%2."/>
      <w:lvlJc w:val="left"/>
      <w:pPr>
        <w:ind w:left="851" w:hanging="284"/>
      </w:pPr>
      <w:rPr>
        <w:rFonts w:hint="default"/>
      </w:rPr>
    </w:lvl>
    <w:lvl w:ilvl="2">
      <w:start w:val="1"/>
      <w:numFmt w:val="bullet"/>
      <w:lvlRestart w:val="0"/>
      <w:pStyle w:val="NumberParagraph3"/>
      <w:lvlText w:val=""/>
      <w:lvlJc w:val="left"/>
      <w:pPr>
        <w:ind w:left="3968" w:hanging="170"/>
      </w:pPr>
      <w:rPr>
        <w:rFonts w:ascii="Symbol" w:hAnsi="Symbol" w:hint="default"/>
        <w:color w:val="auto"/>
      </w:rPr>
    </w:lvl>
    <w:lvl w:ilvl="3">
      <w:start w:val="1"/>
      <w:numFmt w:val="bullet"/>
      <w:pStyle w:val="NumberParagraph4"/>
      <w:lvlText w:val="o"/>
      <w:lvlJc w:val="left"/>
      <w:pPr>
        <w:ind w:left="4044" w:hanging="360"/>
      </w:pPr>
      <w:rPr>
        <w:rFonts w:ascii="Courier New" w:hAnsi="Courier New" w:cs="Courier New" w:hint="default"/>
      </w:rPr>
    </w:lvl>
    <w:lvl w:ilvl="4">
      <w:start w:val="1"/>
      <w:numFmt w:val="lowerLetter"/>
      <w:lvlText w:val="(%5)"/>
      <w:lvlJc w:val="left"/>
      <w:pPr>
        <w:ind w:left="4195" w:hanging="227"/>
      </w:pPr>
      <w:rPr>
        <w:rFonts w:hint="default"/>
      </w:rPr>
    </w:lvl>
    <w:lvl w:ilvl="5">
      <w:start w:val="1"/>
      <w:numFmt w:val="lowerRoman"/>
      <w:lvlText w:val="(%6)"/>
      <w:lvlJc w:val="left"/>
      <w:pPr>
        <w:ind w:left="4422" w:hanging="227"/>
      </w:pPr>
      <w:rPr>
        <w:rFonts w:hint="default"/>
      </w:rPr>
    </w:lvl>
    <w:lvl w:ilvl="6">
      <w:start w:val="1"/>
      <w:numFmt w:val="decimal"/>
      <w:lvlText w:val="%7."/>
      <w:lvlJc w:val="left"/>
      <w:pPr>
        <w:ind w:left="4649" w:hanging="227"/>
      </w:pPr>
      <w:rPr>
        <w:rFonts w:hint="default"/>
      </w:rPr>
    </w:lvl>
    <w:lvl w:ilvl="7">
      <w:start w:val="1"/>
      <w:numFmt w:val="lowerLetter"/>
      <w:lvlText w:val="%8."/>
      <w:lvlJc w:val="left"/>
      <w:pPr>
        <w:ind w:left="4876" w:hanging="227"/>
      </w:pPr>
      <w:rPr>
        <w:rFonts w:hint="default"/>
      </w:rPr>
    </w:lvl>
    <w:lvl w:ilvl="8">
      <w:start w:val="1"/>
      <w:numFmt w:val="lowerRoman"/>
      <w:lvlText w:val="%9."/>
      <w:lvlJc w:val="left"/>
      <w:pPr>
        <w:ind w:left="5103" w:hanging="227"/>
      </w:pPr>
      <w:rPr>
        <w:rFonts w:hint="default"/>
      </w:rPr>
    </w:lvl>
  </w:abstractNum>
  <w:abstractNum w:abstractNumId="3" w15:restartNumberingAfterBreak="0">
    <w:nsid w:val="0B097A3A"/>
    <w:multiLevelType w:val="multilevel"/>
    <w:tmpl w:val="BDA0482E"/>
    <w:numStyleLink w:val="Bullet"/>
  </w:abstractNum>
  <w:abstractNum w:abstractNumId="4" w15:restartNumberingAfterBreak="0">
    <w:nsid w:val="0BE91577"/>
    <w:multiLevelType w:val="hybridMultilevel"/>
    <w:tmpl w:val="3AD8C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8F6788"/>
    <w:multiLevelType w:val="multilevel"/>
    <w:tmpl w:val="26A8573A"/>
    <w:styleLink w:val="NumberList"/>
    <w:lvl w:ilvl="0">
      <w:start w:val="1"/>
      <w:numFmt w:val="decimal"/>
      <w:lvlText w:val="%1."/>
      <w:lvlJc w:val="left"/>
      <w:pPr>
        <w:ind w:left="284" w:firstLine="0"/>
      </w:pPr>
      <w:rPr>
        <w:rFonts w:hint="default"/>
      </w:rPr>
    </w:lvl>
    <w:lvl w:ilvl="1">
      <w:start w:val="1"/>
      <w:numFmt w:val="lowerLetter"/>
      <w:lvlRestart w:val="0"/>
      <w:lvlText w:val="%2."/>
      <w:lvlJc w:val="left"/>
      <w:pPr>
        <w:ind w:left="568" w:firstLine="0"/>
      </w:pPr>
      <w:rPr>
        <w:rFonts w:hint="default"/>
      </w:rPr>
    </w:lvl>
    <w:lvl w:ilvl="2">
      <w:start w:val="1"/>
      <w:numFmt w:val="bullet"/>
      <w:lvlRestart w:val="0"/>
      <w:lvlText w:val=""/>
      <w:lvlJc w:val="left"/>
      <w:pPr>
        <w:ind w:left="852" w:firstLine="0"/>
      </w:pPr>
      <w:rPr>
        <w:rFonts w:ascii="Symbol" w:hAnsi="Symbol" w:hint="default"/>
        <w:color w:val="auto"/>
      </w:rPr>
    </w:lvl>
    <w:lvl w:ilvl="3">
      <w:start w:val="1"/>
      <w:numFmt w:val="bullet"/>
      <w:lvlRestart w:val="0"/>
      <w:lvlText w:val=""/>
      <w:lvlJc w:val="left"/>
      <w:pPr>
        <w:ind w:left="1136" w:firstLine="0"/>
      </w:pPr>
      <w:rPr>
        <w:rFonts w:ascii="Symbol" w:hAnsi="Symbol" w:hint="default"/>
        <w:color w:val="auto"/>
      </w:rPr>
    </w:lvl>
    <w:lvl w:ilvl="4">
      <w:start w:val="1"/>
      <w:numFmt w:val="lowerLetter"/>
      <w:lvlText w:val="(%5)"/>
      <w:lvlJc w:val="left"/>
      <w:pPr>
        <w:tabs>
          <w:tab w:val="num" w:pos="2383"/>
        </w:tabs>
        <w:ind w:left="1420" w:firstLine="0"/>
      </w:pPr>
      <w:rPr>
        <w:rFonts w:hint="default"/>
      </w:rPr>
    </w:lvl>
    <w:lvl w:ilvl="5">
      <w:start w:val="1"/>
      <w:numFmt w:val="lowerRoman"/>
      <w:lvlText w:val="(%6)"/>
      <w:lvlJc w:val="left"/>
      <w:pPr>
        <w:tabs>
          <w:tab w:val="num" w:pos="2667"/>
        </w:tabs>
        <w:ind w:left="1704" w:firstLine="0"/>
      </w:pPr>
      <w:rPr>
        <w:rFonts w:hint="default"/>
      </w:rPr>
    </w:lvl>
    <w:lvl w:ilvl="6">
      <w:start w:val="1"/>
      <w:numFmt w:val="decimal"/>
      <w:lvlText w:val="%7."/>
      <w:lvlJc w:val="left"/>
      <w:pPr>
        <w:tabs>
          <w:tab w:val="num" w:pos="2951"/>
        </w:tabs>
        <w:ind w:left="1988" w:firstLine="0"/>
      </w:pPr>
      <w:rPr>
        <w:rFonts w:hint="default"/>
      </w:rPr>
    </w:lvl>
    <w:lvl w:ilvl="7">
      <w:start w:val="1"/>
      <w:numFmt w:val="lowerLetter"/>
      <w:lvlText w:val="%8."/>
      <w:lvlJc w:val="left"/>
      <w:pPr>
        <w:tabs>
          <w:tab w:val="num" w:pos="3235"/>
        </w:tabs>
        <w:ind w:left="2272" w:firstLine="0"/>
      </w:pPr>
      <w:rPr>
        <w:rFonts w:hint="default"/>
      </w:rPr>
    </w:lvl>
    <w:lvl w:ilvl="8">
      <w:start w:val="1"/>
      <w:numFmt w:val="lowerRoman"/>
      <w:lvlText w:val="%9."/>
      <w:lvlJc w:val="left"/>
      <w:pPr>
        <w:tabs>
          <w:tab w:val="num" w:pos="3519"/>
        </w:tabs>
        <w:ind w:left="2556" w:firstLine="0"/>
      </w:pPr>
      <w:rPr>
        <w:rFonts w:hint="default"/>
      </w:rPr>
    </w:lvl>
  </w:abstractNum>
  <w:abstractNum w:abstractNumId="6" w15:restartNumberingAfterBreak="0">
    <w:nsid w:val="16E172A6"/>
    <w:multiLevelType w:val="hybridMultilevel"/>
    <w:tmpl w:val="4FB68A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825760"/>
    <w:multiLevelType w:val="hybridMultilevel"/>
    <w:tmpl w:val="9B72DBD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1E3A542B"/>
    <w:multiLevelType w:val="hybridMultilevel"/>
    <w:tmpl w:val="7BCCA19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1951916"/>
    <w:multiLevelType w:val="hybridMultilevel"/>
    <w:tmpl w:val="11CC1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8D307D"/>
    <w:multiLevelType w:val="multilevel"/>
    <w:tmpl w:val="BDA0482E"/>
    <w:styleLink w:val="Bullet"/>
    <w:lvl w:ilvl="0">
      <w:start w:val="1"/>
      <w:numFmt w:val="bullet"/>
      <w:pStyle w:val="BulletParagraph1"/>
      <w:lvlText w:val=""/>
      <w:lvlJc w:val="left"/>
      <w:pPr>
        <w:ind w:left="567" w:hanging="283"/>
      </w:pPr>
      <w:rPr>
        <w:rFonts w:ascii="Symbol" w:hAnsi="Symbol" w:hint="default"/>
        <w:color w:val="auto"/>
      </w:rPr>
    </w:lvl>
    <w:lvl w:ilvl="1">
      <w:start w:val="1"/>
      <w:numFmt w:val="bullet"/>
      <w:lvlRestart w:val="0"/>
      <w:pStyle w:val="BulletParagraph2"/>
      <w:lvlText w:val="◦"/>
      <w:lvlJc w:val="left"/>
      <w:pPr>
        <w:ind w:left="851" w:hanging="284"/>
      </w:pPr>
      <w:rPr>
        <w:rFonts w:ascii="Aptos" w:hAnsi="Aptos" w:hint="default"/>
        <w:color w:val="auto"/>
      </w:rPr>
    </w:lvl>
    <w:lvl w:ilvl="2">
      <w:start w:val="1"/>
      <w:numFmt w:val="bullet"/>
      <w:lvlRestart w:val="0"/>
      <w:pStyle w:val="BulletParagraph3"/>
      <w:lvlText w:val="▪"/>
      <w:lvlJc w:val="left"/>
      <w:pPr>
        <w:ind w:left="1134" w:hanging="283"/>
      </w:pPr>
      <w:rPr>
        <w:rFonts w:ascii="Aptos" w:hAnsi="Aptos" w:hint="default"/>
        <w:color w:val="auto"/>
      </w:rPr>
    </w:lvl>
    <w:lvl w:ilvl="3">
      <w:start w:val="1"/>
      <w:numFmt w:val="bullet"/>
      <w:lvlRestart w:val="0"/>
      <w:pStyle w:val="Bulletparagraph4"/>
      <w:lvlText w:val="▫"/>
      <w:lvlJc w:val="left"/>
      <w:pPr>
        <w:ind w:left="1418" w:hanging="284"/>
      </w:pPr>
      <w:rPr>
        <w:rFonts w:ascii="Aptos" w:hAnsi="Aptos" w:hint="default"/>
        <w:color w:val="auto"/>
      </w:rPr>
    </w:lvl>
    <w:lvl w:ilvl="4">
      <w:start w:val="1"/>
      <w:numFmt w:val="lowerLetter"/>
      <w:lvlText w:val="(%5)"/>
      <w:lvlJc w:val="left"/>
      <w:pPr>
        <w:ind w:left="4195" w:hanging="227"/>
      </w:pPr>
      <w:rPr>
        <w:rFonts w:hint="default"/>
      </w:rPr>
    </w:lvl>
    <w:lvl w:ilvl="5">
      <w:start w:val="1"/>
      <w:numFmt w:val="lowerRoman"/>
      <w:lvlText w:val="(%6)"/>
      <w:lvlJc w:val="left"/>
      <w:pPr>
        <w:ind w:left="4422" w:hanging="227"/>
      </w:pPr>
      <w:rPr>
        <w:rFonts w:hint="default"/>
      </w:rPr>
    </w:lvl>
    <w:lvl w:ilvl="6">
      <w:start w:val="1"/>
      <w:numFmt w:val="decimal"/>
      <w:lvlText w:val="%7."/>
      <w:lvlJc w:val="left"/>
      <w:pPr>
        <w:ind w:left="4649" w:hanging="227"/>
      </w:pPr>
      <w:rPr>
        <w:rFonts w:hint="default"/>
      </w:rPr>
    </w:lvl>
    <w:lvl w:ilvl="7">
      <w:start w:val="1"/>
      <w:numFmt w:val="lowerLetter"/>
      <w:lvlText w:val="%8."/>
      <w:lvlJc w:val="left"/>
      <w:pPr>
        <w:ind w:left="4876" w:hanging="227"/>
      </w:pPr>
      <w:rPr>
        <w:rFonts w:hint="default"/>
      </w:rPr>
    </w:lvl>
    <w:lvl w:ilvl="8">
      <w:start w:val="1"/>
      <w:numFmt w:val="lowerRoman"/>
      <w:lvlText w:val="%9."/>
      <w:lvlJc w:val="left"/>
      <w:pPr>
        <w:ind w:left="5103" w:hanging="227"/>
      </w:pPr>
      <w:rPr>
        <w:rFonts w:hint="default"/>
      </w:rPr>
    </w:lvl>
  </w:abstractNum>
  <w:abstractNum w:abstractNumId="11" w15:restartNumberingAfterBreak="0">
    <w:nsid w:val="31C76C90"/>
    <w:multiLevelType w:val="multilevel"/>
    <w:tmpl w:val="3B7C4FF0"/>
    <w:numStyleLink w:val="MultiList"/>
  </w:abstractNum>
  <w:abstractNum w:abstractNumId="12" w15:restartNumberingAfterBreak="0">
    <w:nsid w:val="33882F7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864FC5"/>
    <w:multiLevelType w:val="multilevel"/>
    <w:tmpl w:val="5D305450"/>
    <w:styleLink w:val="NumberedList"/>
    <w:lvl w:ilvl="0">
      <w:start w:val="1"/>
      <w:numFmt w:val="decimal"/>
      <w:lvlText w:val="%1."/>
      <w:lvlJc w:val="left"/>
      <w:pPr>
        <w:ind w:left="227" w:hanging="227"/>
      </w:pPr>
      <w:rPr>
        <w:rFonts w:hint="default"/>
        <w:color w:val="auto"/>
      </w:rPr>
    </w:lvl>
    <w:lvl w:ilvl="1">
      <w:start w:val="1"/>
      <w:numFmt w:val="lowerLetter"/>
      <w:suff w:val="space"/>
      <w:lvlText w:val="%2."/>
      <w:lvlJc w:val="left"/>
      <w:pPr>
        <w:ind w:left="454" w:hanging="227"/>
      </w:pPr>
      <w:rPr>
        <w:rFonts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color w:val="auto"/>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4" w15:restartNumberingAfterBreak="0">
    <w:nsid w:val="3FE9018D"/>
    <w:multiLevelType w:val="hybridMultilevel"/>
    <w:tmpl w:val="37F07BA6"/>
    <w:lvl w:ilvl="0" w:tplc="D2F20B9E">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5" w15:restartNumberingAfterBreak="0">
    <w:nsid w:val="51544687"/>
    <w:multiLevelType w:val="multilevel"/>
    <w:tmpl w:val="2F98406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C894EF2"/>
    <w:multiLevelType w:val="multilevel"/>
    <w:tmpl w:val="4F8AB9A2"/>
    <w:lvl w:ilvl="0">
      <w:start w:val="1"/>
      <w:numFmt w:val="bullet"/>
      <w:lvlText w:val=""/>
      <w:lvlJc w:val="left"/>
      <w:pPr>
        <w:ind w:left="567" w:hanging="283"/>
      </w:pPr>
      <w:rPr>
        <w:rFonts w:ascii="Symbol" w:hAnsi="Symbol" w:hint="default"/>
        <w:color w:val="auto"/>
      </w:rPr>
    </w:lvl>
    <w:lvl w:ilvl="1">
      <w:start w:val="1"/>
      <w:numFmt w:val="lowerLetter"/>
      <w:lvlRestart w:val="0"/>
      <w:lvlText w:val="%2."/>
      <w:lvlJc w:val="left"/>
      <w:pPr>
        <w:ind w:left="851" w:hanging="284"/>
      </w:pPr>
      <w:rPr>
        <w:rFonts w:hint="default"/>
      </w:rPr>
    </w:lvl>
    <w:lvl w:ilvl="2">
      <w:start w:val="1"/>
      <w:numFmt w:val="bullet"/>
      <w:lvlRestart w:val="0"/>
      <w:lvlText w:val=""/>
      <w:lvlJc w:val="left"/>
      <w:pPr>
        <w:ind w:left="3968" w:hanging="170"/>
      </w:pPr>
      <w:rPr>
        <w:rFonts w:ascii="Symbol" w:hAnsi="Symbol" w:hint="default"/>
        <w:color w:val="auto"/>
      </w:rPr>
    </w:lvl>
    <w:lvl w:ilvl="3">
      <w:start w:val="1"/>
      <w:numFmt w:val="bullet"/>
      <w:lvlRestart w:val="0"/>
      <w:lvlText w:val=""/>
      <w:lvlJc w:val="left"/>
      <w:pPr>
        <w:ind w:left="3968" w:hanging="284"/>
      </w:pPr>
      <w:rPr>
        <w:rFonts w:ascii="Symbol" w:hAnsi="Symbol" w:hint="default"/>
        <w:color w:val="auto"/>
      </w:rPr>
    </w:lvl>
    <w:lvl w:ilvl="4">
      <w:start w:val="1"/>
      <w:numFmt w:val="lowerLetter"/>
      <w:lvlText w:val="(%5)"/>
      <w:lvlJc w:val="left"/>
      <w:pPr>
        <w:ind w:left="4195" w:hanging="227"/>
      </w:pPr>
      <w:rPr>
        <w:rFonts w:hint="default"/>
      </w:rPr>
    </w:lvl>
    <w:lvl w:ilvl="5">
      <w:start w:val="1"/>
      <w:numFmt w:val="lowerRoman"/>
      <w:lvlText w:val="(%6)"/>
      <w:lvlJc w:val="left"/>
      <w:pPr>
        <w:ind w:left="4422" w:hanging="227"/>
      </w:pPr>
      <w:rPr>
        <w:rFonts w:hint="default"/>
      </w:rPr>
    </w:lvl>
    <w:lvl w:ilvl="6">
      <w:start w:val="1"/>
      <w:numFmt w:val="decimal"/>
      <w:lvlText w:val="%7."/>
      <w:lvlJc w:val="left"/>
      <w:pPr>
        <w:ind w:left="4649" w:hanging="227"/>
      </w:pPr>
      <w:rPr>
        <w:rFonts w:hint="default"/>
      </w:rPr>
    </w:lvl>
    <w:lvl w:ilvl="7">
      <w:start w:val="1"/>
      <w:numFmt w:val="lowerLetter"/>
      <w:lvlText w:val="%8."/>
      <w:lvlJc w:val="left"/>
      <w:pPr>
        <w:ind w:left="4876" w:hanging="227"/>
      </w:pPr>
      <w:rPr>
        <w:rFonts w:hint="default"/>
      </w:rPr>
    </w:lvl>
    <w:lvl w:ilvl="8">
      <w:start w:val="1"/>
      <w:numFmt w:val="lowerRoman"/>
      <w:lvlText w:val="%9."/>
      <w:lvlJc w:val="left"/>
      <w:pPr>
        <w:ind w:left="5103" w:hanging="227"/>
      </w:pPr>
      <w:rPr>
        <w:rFonts w:hint="default"/>
      </w:rPr>
    </w:lvl>
  </w:abstractNum>
  <w:abstractNum w:abstractNumId="17" w15:restartNumberingAfterBreak="0">
    <w:nsid w:val="623E370B"/>
    <w:multiLevelType w:val="multilevel"/>
    <w:tmpl w:val="3B7C4FF0"/>
    <w:numStyleLink w:val="MultiList"/>
  </w:abstractNum>
  <w:abstractNum w:abstractNumId="18" w15:restartNumberingAfterBreak="0">
    <w:nsid w:val="6395064F"/>
    <w:multiLevelType w:val="multilevel"/>
    <w:tmpl w:val="ED78C8DA"/>
    <w:lvl w:ilvl="0">
      <w:start w:val="1"/>
      <w:numFmt w:val="bullet"/>
      <w:lvlText w:val=""/>
      <w:lvlJc w:val="left"/>
      <w:pPr>
        <w:ind w:left="567" w:hanging="283"/>
      </w:pPr>
      <w:rPr>
        <w:rFonts w:ascii="Symbol" w:hAnsi="Symbol" w:hint="default"/>
        <w:color w:val="auto"/>
      </w:rPr>
    </w:lvl>
    <w:lvl w:ilvl="1">
      <w:start w:val="1"/>
      <w:numFmt w:val="lowerLetter"/>
      <w:lvlRestart w:val="0"/>
      <w:lvlText w:val="%2."/>
      <w:lvlJc w:val="left"/>
      <w:pPr>
        <w:ind w:left="851" w:hanging="284"/>
      </w:pPr>
      <w:rPr>
        <w:rFonts w:hint="default"/>
      </w:rPr>
    </w:lvl>
    <w:lvl w:ilvl="2">
      <w:start w:val="1"/>
      <w:numFmt w:val="bullet"/>
      <w:lvlRestart w:val="0"/>
      <w:lvlText w:val=""/>
      <w:lvlJc w:val="left"/>
      <w:pPr>
        <w:ind w:left="3968" w:hanging="170"/>
      </w:pPr>
      <w:rPr>
        <w:rFonts w:ascii="Symbol" w:hAnsi="Symbol" w:hint="default"/>
        <w:color w:val="auto"/>
      </w:rPr>
    </w:lvl>
    <w:lvl w:ilvl="3">
      <w:start w:val="1"/>
      <w:numFmt w:val="bullet"/>
      <w:lvlRestart w:val="0"/>
      <w:lvlText w:val=""/>
      <w:lvlJc w:val="left"/>
      <w:pPr>
        <w:ind w:left="3968" w:hanging="284"/>
      </w:pPr>
      <w:rPr>
        <w:rFonts w:ascii="Symbol" w:hAnsi="Symbol" w:hint="default"/>
        <w:color w:val="auto"/>
      </w:rPr>
    </w:lvl>
    <w:lvl w:ilvl="4">
      <w:start w:val="1"/>
      <w:numFmt w:val="lowerLetter"/>
      <w:lvlText w:val="(%5)"/>
      <w:lvlJc w:val="left"/>
      <w:pPr>
        <w:ind w:left="4195" w:hanging="227"/>
      </w:pPr>
      <w:rPr>
        <w:rFonts w:hint="default"/>
      </w:rPr>
    </w:lvl>
    <w:lvl w:ilvl="5">
      <w:start w:val="1"/>
      <w:numFmt w:val="lowerRoman"/>
      <w:lvlText w:val="(%6)"/>
      <w:lvlJc w:val="left"/>
      <w:pPr>
        <w:ind w:left="4422" w:hanging="227"/>
      </w:pPr>
      <w:rPr>
        <w:rFonts w:hint="default"/>
      </w:rPr>
    </w:lvl>
    <w:lvl w:ilvl="6">
      <w:start w:val="1"/>
      <w:numFmt w:val="decimal"/>
      <w:lvlText w:val="%7."/>
      <w:lvlJc w:val="left"/>
      <w:pPr>
        <w:ind w:left="4649" w:hanging="227"/>
      </w:pPr>
      <w:rPr>
        <w:rFonts w:hint="default"/>
      </w:rPr>
    </w:lvl>
    <w:lvl w:ilvl="7">
      <w:start w:val="1"/>
      <w:numFmt w:val="lowerLetter"/>
      <w:lvlText w:val="%8."/>
      <w:lvlJc w:val="left"/>
      <w:pPr>
        <w:ind w:left="4876" w:hanging="227"/>
      </w:pPr>
      <w:rPr>
        <w:rFonts w:hint="default"/>
      </w:rPr>
    </w:lvl>
    <w:lvl w:ilvl="8">
      <w:start w:val="1"/>
      <w:numFmt w:val="lowerRoman"/>
      <w:lvlText w:val="%9."/>
      <w:lvlJc w:val="left"/>
      <w:pPr>
        <w:ind w:left="5103" w:hanging="227"/>
      </w:pPr>
      <w:rPr>
        <w:rFonts w:hint="default"/>
      </w:rPr>
    </w:lvl>
  </w:abstractNum>
  <w:abstractNum w:abstractNumId="19" w15:restartNumberingAfterBreak="0">
    <w:nsid w:val="69401944"/>
    <w:multiLevelType w:val="hybridMultilevel"/>
    <w:tmpl w:val="E258D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3F44B8"/>
    <w:multiLevelType w:val="multilevel"/>
    <w:tmpl w:val="058AF966"/>
    <w:lvl w:ilvl="0">
      <w:start w:val="1"/>
      <w:numFmt w:val="decimal"/>
      <w:lvlText w:val="%1."/>
      <w:lvlJc w:val="left"/>
      <w:pPr>
        <w:ind w:left="227" w:hanging="227"/>
      </w:pPr>
      <w:rPr>
        <w:rFonts w:hint="default"/>
        <w:color w:val="auto"/>
      </w:rPr>
    </w:lvl>
    <w:lvl w:ilvl="1">
      <w:start w:val="1"/>
      <w:numFmt w:val="lowerLetter"/>
      <w:suff w:val="space"/>
      <w:lvlText w:val="%2."/>
      <w:lvlJc w:val="left"/>
      <w:pPr>
        <w:ind w:left="454" w:hanging="227"/>
      </w:pPr>
      <w:rPr>
        <w:rFonts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color w:val="auto"/>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1" w15:restartNumberingAfterBreak="0">
    <w:nsid w:val="6D866AC5"/>
    <w:multiLevelType w:val="hybridMultilevel"/>
    <w:tmpl w:val="8E829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0B5F25"/>
    <w:multiLevelType w:val="multilevel"/>
    <w:tmpl w:val="4F68D3F2"/>
    <w:lvl w:ilvl="0">
      <w:start w:val="1"/>
      <w:numFmt w:val="decimal"/>
      <w:pStyle w:val="ListNumber"/>
      <w:lvlText w:val="%1."/>
      <w:lvlJc w:val="left"/>
      <w:pPr>
        <w:tabs>
          <w:tab w:val="num" w:pos="340"/>
        </w:tabs>
        <w:ind w:left="227" w:hanging="227"/>
      </w:pPr>
      <w:rPr>
        <w:rFonts w:hint="default"/>
      </w:rPr>
    </w:lvl>
    <w:lvl w:ilvl="1">
      <w:start w:val="1"/>
      <w:numFmt w:val="lowerLetter"/>
      <w:lvlText w:val="%2."/>
      <w:lvlJc w:val="left"/>
      <w:pPr>
        <w:ind w:left="567" w:hanging="207"/>
      </w:pPr>
      <w:rPr>
        <w:rFonts w:hint="default"/>
      </w:rPr>
    </w:lvl>
    <w:lvl w:ilvl="2">
      <w:start w:val="1"/>
      <w:numFmt w:val="bullet"/>
      <w:lvlText w:val=""/>
      <w:lvlJc w:val="left"/>
      <w:pPr>
        <w:ind w:left="907" w:hanging="340"/>
      </w:pPr>
      <w:rPr>
        <w:rFonts w:ascii="Symbol" w:hAnsi="Symbol" w:hint="default"/>
        <w:color w:val="auto"/>
      </w:rPr>
    </w:lvl>
    <w:lvl w:ilvl="3">
      <w:start w:val="1"/>
      <w:numFmt w:val="bullet"/>
      <w:lvlText w:val=""/>
      <w:lvlJc w:val="left"/>
      <w:pPr>
        <w:ind w:left="1304" w:hanging="397"/>
      </w:pPr>
      <w:rPr>
        <w:rFonts w:ascii="Symbol" w:hAnsi="Symbol" w:hint="default"/>
        <w:color w:val="auto"/>
      </w:rPr>
    </w:lvl>
    <w:lvl w:ilvl="4">
      <w:start w:val="1"/>
      <w:numFmt w:val="lowerLetter"/>
      <w:lvlText w:val="(%5)"/>
      <w:lvlJc w:val="left"/>
      <w:pPr>
        <w:ind w:left="164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FA41005"/>
    <w:multiLevelType w:val="multilevel"/>
    <w:tmpl w:val="3B7C4FF0"/>
    <w:numStyleLink w:val="MultiList"/>
  </w:abstractNum>
  <w:num w:numId="1" w16cid:durableId="973950286">
    <w:abstractNumId w:val="14"/>
  </w:num>
  <w:num w:numId="2" w16cid:durableId="63994847">
    <w:abstractNumId w:val="0"/>
  </w:num>
  <w:num w:numId="3" w16cid:durableId="920525404">
    <w:abstractNumId w:val="15"/>
  </w:num>
  <w:num w:numId="4" w16cid:durableId="2032295406">
    <w:abstractNumId w:val="15"/>
  </w:num>
  <w:num w:numId="5" w16cid:durableId="230118291">
    <w:abstractNumId w:val="15"/>
  </w:num>
  <w:num w:numId="6" w16cid:durableId="1970239011">
    <w:abstractNumId w:val="13"/>
  </w:num>
  <w:num w:numId="7" w16cid:durableId="374544711">
    <w:abstractNumId w:val="5"/>
  </w:num>
  <w:num w:numId="8" w16cid:durableId="684014088">
    <w:abstractNumId w:val="5"/>
  </w:num>
  <w:num w:numId="9" w16cid:durableId="2012902484">
    <w:abstractNumId w:val="15"/>
  </w:num>
  <w:num w:numId="10" w16cid:durableId="738820081">
    <w:abstractNumId w:val="1"/>
  </w:num>
  <w:num w:numId="11" w16cid:durableId="1206061036">
    <w:abstractNumId w:val="20"/>
  </w:num>
  <w:num w:numId="12" w16cid:durableId="1581284249">
    <w:abstractNumId w:val="2"/>
  </w:num>
  <w:num w:numId="13" w16cid:durableId="1399284782">
    <w:abstractNumId w:val="22"/>
  </w:num>
  <w:num w:numId="14" w16cid:durableId="179928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7232688">
    <w:abstractNumId w:val="11"/>
  </w:num>
  <w:num w:numId="16" w16cid:durableId="847251051">
    <w:abstractNumId w:val="17"/>
  </w:num>
  <w:num w:numId="17" w16cid:durableId="83259952">
    <w:abstractNumId w:val="12"/>
  </w:num>
  <w:num w:numId="18" w16cid:durableId="842283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4187121">
    <w:abstractNumId w:val="23"/>
  </w:num>
  <w:num w:numId="20" w16cid:durableId="1832981465">
    <w:abstractNumId w:val="16"/>
  </w:num>
  <w:num w:numId="21" w16cid:durableId="882600152">
    <w:abstractNumId w:val="18"/>
  </w:num>
  <w:num w:numId="22" w16cid:durableId="899747276">
    <w:abstractNumId w:val="10"/>
  </w:num>
  <w:num w:numId="23" w16cid:durableId="376197225">
    <w:abstractNumId w:val="3"/>
  </w:num>
  <w:num w:numId="24" w16cid:durableId="818766471">
    <w:abstractNumId w:val="7"/>
  </w:num>
  <w:num w:numId="25" w16cid:durableId="1519351366">
    <w:abstractNumId w:val="9"/>
  </w:num>
  <w:num w:numId="26" w16cid:durableId="275455044">
    <w:abstractNumId w:val="6"/>
  </w:num>
  <w:num w:numId="27" w16cid:durableId="1665472777">
    <w:abstractNumId w:val="8"/>
  </w:num>
  <w:num w:numId="28" w16cid:durableId="1308893993">
    <w:abstractNumId w:val="4"/>
  </w:num>
  <w:num w:numId="29" w16cid:durableId="181095694">
    <w:abstractNumId w:val="19"/>
  </w:num>
  <w:num w:numId="30" w16cid:durableId="2085756837">
    <w:abstractNumId w:val="3"/>
  </w:num>
  <w:num w:numId="31" w16cid:durableId="109589220">
    <w:abstractNumId w:val="3"/>
  </w:num>
  <w:num w:numId="32" w16cid:durableId="3272504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14"/>
    <w:rsid w:val="000046CF"/>
    <w:rsid w:val="00007AFA"/>
    <w:rsid w:val="00010111"/>
    <w:rsid w:val="00014486"/>
    <w:rsid w:val="00016D1D"/>
    <w:rsid w:val="0002001B"/>
    <w:rsid w:val="0002003D"/>
    <w:rsid w:val="00021354"/>
    <w:rsid w:val="000235CB"/>
    <w:rsid w:val="0002374E"/>
    <w:rsid w:val="00024B7C"/>
    <w:rsid w:val="00026176"/>
    <w:rsid w:val="00026517"/>
    <w:rsid w:val="00030FC0"/>
    <w:rsid w:val="000310B9"/>
    <w:rsid w:val="0003116B"/>
    <w:rsid w:val="00036DBE"/>
    <w:rsid w:val="0004149F"/>
    <w:rsid w:val="00042AFD"/>
    <w:rsid w:val="00043C50"/>
    <w:rsid w:val="00043EF4"/>
    <w:rsid w:val="00045C35"/>
    <w:rsid w:val="000462B4"/>
    <w:rsid w:val="00053536"/>
    <w:rsid w:val="0005502C"/>
    <w:rsid w:val="00063345"/>
    <w:rsid w:val="000675C2"/>
    <w:rsid w:val="00067DB2"/>
    <w:rsid w:val="00070A47"/>
    <w:rsid w:val="00071FC2"/>
    <w:rsid w:val="00072292"/>
    <w:rsid w:val="0007308D"/>
    <w:rsid w:val="00077C9C"/>
    <w:rsid w:val="000869D6"/>
    <w:rsid w:val="000877A9"/>
    <w:rsid w:val="00093312"/>
    <w:rsid w:val="00094CC2"/>
    <w:rsid w:val="00096E1F"/>
    <w:rsid w:val="000A142D"/>
    <w:rsid w:val="000A1D8A"/>
    <w:rsid w:val="000A1EFD"/>
    <w:rsid w:val="000A3595"/>
    <w:rsid w:val="000A3CE2"/>
    <w:rsid w:val="000A4E51"/>
    <w:rsid w:val="000B1ACA"/>
    <w:rsid w:val="000B3795"/>
    <w:rsid w:val="000B3D75"/>
    <w:rsid w:val="000B54B5"/>
    <w:rsid w:val="000B5A81"/>
    <w:rsid w:val="000C0EC9"/>
    <w:rsid w:val="000C1976"/>
    <w:rsid w:val="000C28FA"/>
    <w:rsid w:val="000C34A1"/>
    <w:rsid w:val="000C360D"/>
    <w:rsid w:val="000C47CD"/>
    <w:rsid w:val="000D0548"/>
    <w:rsid w:val="000D30B3"/>
    <w:rsid w:val="000D35BD"/>
    <w:rsid w:val="000D4F9A"/>
    <w:rsid w:val="000D54B3"/>
    <w:rsid w:val="000E0D87"/>
    <w:rsid w:val="000E18FD"/>
    <w:rsid w:val="000F066F"/>
    <w:rsid w:val="001006A1"/>
    <w:rsid w:val="00100F3B"/>
    <w:rsid w:val="001011A4"/>
    <w:rsid w:val="00103266"/>
    <w:rsid w:val="00103CF9"/>
    <w:rsid w:val="00105308"/>
    <w:rsid w:val="001072DE"/>
    <w:rsid w:val="00107CB6"/>
    <w:rsid w:val="001107A1"/>
    <w:rsid w:val="0011346C"/>
    <w:rsid w:val="00113C7F"/>
    <w:rsid w:val="00117D53"/>
    <w:rsid w:val="00120186"/>
    <w:rsid w:val="00120961"/>
    <w:rsid w:val="00121284"/>
    <w:rsid w:val="001213F9"/>
    <w:rsid w:val="0012187C"/>
    <w:rsid w:val="0012194A"/>
    <w:rsid w:val="00122249"/>
    <w:rsid w:val="001241F7"/>
    <w:rsid w:val="00124E4B"/>
    <w:rsid w:val="00125137"/>
    <w:rsid w:val="0012617F"/>
    <w:rsid w:val="00126430"/>
    <w:rsid w:val="00134661"/>
    <w:rsid w:val="00141ECE"/>
    <w:rsid w:val="001456A5"/>
    <w:rsid w:val="0016108F"/>
    <w:rsid w:val="00161509"/>
    <w:rsid w:val="00162279"/>
    <w:rsid w:val="0016327D"/>
    <w:rsid w:val="00163737"/>
    <w:rsid w:val="00165494"/>
    <w:rsid w:val="00171F01"/>
    <w:rsid w:val="0017314A"/>
    <w:rsid w:val="00174026"/>
    <w:rsid w:val="00174047"/>
    <w:rsid w:val="00174F89"/>
    <w:rsid w:val="00176B49"/>
    <w:rsid w:val="001770E4"/>
    <w:rsid w:val="001812AC"/>
    <w:rsid w:val="00181EE0"/>
    <w:rsid w:val="00182064"/>
    <w:rsid w:val="001848D0"/>
    <w:rsid w:val="00190703"/>
    <w:rsid w:val="001956CA"/>
    <w:rsid w:val="001A1E13"/>
    <w:rsid w:val="001A22C7"/>
    <w:rsid w:val="001C0A7D"/>
    <w:rsid w:val="001C2008"/>
    <w:rsid w:val="001C2F3E"/>
    <w:rsid w:val="001D2929"/>
    <w:rsid w:val="001D69B5"/>
    <w:rsid w:val="001E1CE2"/>
    <w:rsid w:val="001E5F19"/>
    <w:rsid w:val="001F03AF"/>
    <w:rsid w:val="001F04B5"/>
    <w:rsid w:val="001F0B1E"/>
    <w:rsid w:val="001F1D9C"/>
    <w:rsid w:val="001F4C30"/>
    <w:rsid w:val="001F53BE"/>
    <w:rsid w:val="001F5706"/>
    <w:rsid w:val="001F5B55"/>
    <w:rsid w:val="001F69F6"/>
    <w:rsid w:val="001F7CB4"/>
    <w:rsid w:val="00201E30"/>
    <w:rsid w:val="00202902"/>
    <w:rsid w:val="002078EC"/>
    <w:rsid w:val="0020792F"/>
    <w:rsid w:val="002134AA"/>
    <w:rsid w:val="00216225"/>
    <w:rsid w:val="0021664C"/>
    <w:rsid w:val="002234A5"/>
    <w:rsid w:val="002236DB"/>
    <w:rsid w:val="00224BF6"/>
    <w:rsid w:val="00226355"/>
    <w:rsid w:val="00227506"/>
    <w:rsid w:val="00230B8D"/>
    <w:rsid w:val="002362DD"/>
    <w:rsid w:val="00242770"/>
    <w:rsid w:val="00246227"/>
    <w:rsid w:val="0024628E"/>
    <w:rsid w:val="002473D6"/>
    <w:rsid w:val="002476B0"/>
    <w:rsid w:val="00250670"/>
    <w:rsid w:val="00253CF5"/>
    <w:rsid w:val="00254291"/>
    <w:rsid w:val="00254D57"/>
    <w:rsid w:val="00254F93"/>
    <w:rsid w:val="00264AEC"/>
    <w:rsid w:val="00266214"/>
    <w:rsid w:val="00271930"/>
    <w:rsid w:val="0027557C"/>
    <w:rsid w:val="00275EEA"/>
    <w:rsid w:val="00276ADF"/>
    <w:rsid w:val="00277D3A"/>
    <w:rsid w:val="002814F8"/>
    <w:rsid w:val="00286CBF"/>
    <w:rsid w:val="00286E8F"/>
    <w:rsid w:val="00294170"/>
    <w:rsid w:val="00295349"/>
    <w:rsid w:val="0029718F"/>
    <w:rsid w:val="002A06B2"/>
    <w:rsid w:val="002A0DA1"/>
    <w:rsid w:val="002A3AC7"/>
    <w:rsid w:val="002A5D96"/>
    <w:rsid w:val="002A5F4E"/>
    <w:rsid w:val="002A6B6F"/>
    <w:rsid w:val="002A7EE0"/>
    <w:rsid w:val="002B1492"/>
    <w:rsid w:val="002B1D01"/>
    <w:rsid w:val="002B4021"/>
    <w:rsid w:val="002C2C11"/>
    <w:rsid w:val="002C4C07"/>
    <w:rsid w:val="002C6452"/>
    <w:rsid w:val="002C7196"/>
    <w:rsid w:val="002D0D8C"/>
    <w:rsid w:val="002D1EF4"/>
    <w:rsid w:val="002D3C8B"/>
    <w:rsid w:val="002F109A"/>
    <w:rsid w:val="002F3D2D"/>
    <w:rsid w:val="00303417"/>
    <w:rsid w:val="003065BF"/>
    <w:rsid w:val="00310909"/>
    <w:rsid w:val="00310E44"/>
    <w:rsid w:val="00312EBA"/>
    <w:rsid w:val="0031404A"/>
    <w:rsid w:val="00314CED"/>
    <w:rsid w:val="00315017"/>
    <w:rsid w:val="003153ED"/>
    <w:rsid w:val="00315CCE"/>
    <w:rsid w:val="003167A9"/>
    <w:rsid w:val="00322CFF"/>
    <w:rsid w:val="003242D7"/>
    <w:rsid w:val="003266AA"/>
    <w:rsid w:val="0032720F"/>
    <w:rsid w:val="0033160D"/>
    <w:rsid w:val="00332CAF"/>
    <w:rsid w:val="00341074"/>
    <w:rsid w:val="003415CB"/>
    <w:rsid w:val="00342D9B"/>
    <w:rsid w:val="003436B7"/>
    <w:rsid w:val="0034452D"/>
    <w:rsid w:val="003456D2"/>
    <w:rsid w:val="0035051F"/>
    <w:rsid w:val="00355559"/>
    <w:rsid w:val="0036660A"/>
    <w:rsid w:val="003749FA"/>
    <w:rsid w:val="00374FC6"/>
    <w:rsid w:val="00375CE7"/>
    <w:rsid w:val="00376C54"/>
    <w:rsid w:val="003778B3"/>
    <w:rsid w:val="00385451"/>
    <w:rsid w:val="003860FE"/>
    <w:rsid w:val="00386CD0"/>
    <w:rsid w:val="00390FAF"/>
    <w:rsid w:val="00391514"/>
    <w:rsid w:val="00394CCF"/>
    <w:rsid w:val="003A004D"/>
    <w:rsid w:val="003A2FAC"/>
    <w:rsid w:val="003A567C"/>
    <w:rsid w:val="003A6D77"/>
    <w:rsid w:val="003A751B"/>
    <w:rsid w:val="003B0476"/>
    <w:rsid w:val="003B2A69"/>
    <w:rsid w:val="003B6C06"/>
    <w:rsid w:val="003B7791"/>
    <w:rsid w:val="003B7866"/>
    <w:rsid w:val="003C4AFC"/>
    <w:rsid w:val="003C629C"/>
    <w:rsid w:val="003C6C75"/>
    <w:rsid w:val="003D26B1"/>
    <w:rsid w:val="003D3726"/>
    <w:rsid w:val="003D5EBD"/>
    <w:rsid w:val="003D6490"/>
    <w:rsid w:val="003D6761"/>
    <w:rsid w:val="003E454B"/>
    <w:rsid w:val="003F2080"/>
    <w:rsid w:val="003F3588"/>
    <w:rsid w:val="003F3BEE"/>
    <w:rsid w:val="003F406D"/>
    <w:rsid w:val="00403E4F"/>
    <w:rsid w:val="004041A1"/>
    <w:rsid w:val="00404A7E"/>
    <w:rsid w:val="00411E76"/>
    <w:rsid w:val="00412C14"/>
    <w:rsid w:val="004174C2"/>
    <w:rsid w:val="0042183E"/>
    <w:rsid w:val="00423754"/>
    <w:rsid w:val="00427523"/>
    <w:rsid w:val="00427D9C"/>
    <w:rsid w:val="0043078C"/>
    <w:rsid w:val="00430C5C"/>
    <w:rsid w:val="0043175B"/>
    <w:rsid w:val="004337D6"/>
    <w:rsid w:val="00442265"/>
    <w:rsid w:val="004504ED"/>
    <w:rsid w:val="00450C5E"/>
    <w:rsid w:val="0045497E"/>
    <w:rsid w:val="004615A7"/>
    <w:rsid w:val="004625E0"/>
    <w:rsid w:val="00466BA1"/>
    <w:rsid w:val="00466DCD"/>
    <w:rsid w:val="0047139D"/>
    <w:rsid w:val="00471A9A"/>
    <w:rsid w:val="004725D6"/>
    <w:rsid w:val="00476BF9"/>
    <w:rsid w:val="00481149"/>
    <w:rsid w:val="00483673"/>
    <w:rsid w:val="00483F2A"/>
    <w:rsid w:val="004847A7"/>
    <w:rsid w:val="00487113"/>
    <w:rsid w:val="00487963"/>
    <w:rsid w:val="004953F0"/>
    <w:rsid w:val="0049630A"/>
    <w:rsid w:val="004B1BD1"/>
    <w:rsid w:val="004B2BBC"/>
    <w:rsid w:val="004B49C6"/>
    <w:rsid w:val="004B64CE"/>
    <w:rsid w:val="004B7203"/>
    <w:rsid w:val="004B73A0"/>
    <w:rsid w:val="004C01E9"/>
    <w:rsid w:val="004C1802"/>
    <w:rsid w:val="004C28F3"/>
    <w:rsid w:val="004C7186"/>
    <w:rsid w:val="004D0B14"/>
    <w:rsid w:val="004D1C1A"/>
    <w:rsid w:val="004D1E14"/>
    <w:rsid w:val="004D2979"/>
    <w:rsid w:val="004D35A4"/>
    <w:rsid w:val="004D50BC"/>
    <w:rsid w:val="004D66DD"/>
    <w:rsid w:val="004E05FA"/>
    <w:rsid w:val="004E0ECA"/>
    <w:rsid w:val="004E1283"/>
    <w:rsid w:val="004E1B46"/>
    <w:rsid w:val="004E1CC9"/>
    <w:rsid w:val="004E298D"/>
    <w:rsid w:val="004E4505"/>
    <w:rsid w:val="004E6E55"/>
    <w:rsid w:val="004F16A6"/>
    <w:rsid w:val="004F7A9B"/>
    <w:rsid w:val="005005B2"/>
    <w:rsid w:val="00501840"/>
    <w:rsid w:val="00507106"/>
    <w:rsid w:val="00507575"/>
    <w:rsid w:val="00516EB2"/>
    <w:rsid w:val="00520678"/>
    <w:rsid w:val="005216FC"/>
    <w:rsid w:val="00521A5A"/>
    <w:rsid w:val="00521FB5"/>
    <w:rsid w:val="00522F97"/>
    <w:rsid w:val="00523CE7"/>
    <w:rsid w:val="005249CC"/>
    <w:rsid w:val="005303E3"/>
    <w:rsid w:val="00530B32"/>
    <w:rsid w:val="00530C6F"/>
    <w:rsid w:val="00530C8C"/>
    <w:rsid w:val="00533344"/>
    <w:rsid w:val="005367CA"/>
    <w:rsid w:val="00537171"/>
    <w:rsid w:val="00537EBC"/>
    <w:rsid w:val="00540851"/>
    <w:rsid w:val="00541311"/>
    <w:rsid w:val="005419F1"/>
    <w:rsid w:val="00541B65"/>
    <w:rsid w:val="0055379A"/>
    <w:rsid w:val="005537CF"/>
    <w:rsid w:val="005540AE"/>
    <w:rsid w:val="00556A1C"/>
    <w:rsid w:val="005579AF"/>
    <w:rsid w:val="00562815"/>
    <w:rsid w:val="00562EC2"/>
    <w:rsid w:val="00565047"/>
    <w:rsid w:val="005660C7"/>
    <w:rsid w:val="005748A4"/>
    <w:rsid w:val="005771D9"/>
    <w:rsid w:val="005802B2"/>
    <w:rsid w:val="00581338"/>
    <w:rsid w:val="005822AA"/>
    <w:rsid w:val="00585DE3"/>
    <w:rsid w:val="005868AF"/>
    <w:rsid w:val="00587178"/>
    <w:rsid w:val="00587E0C"/>
    <w:rsid w:val="0059011C"/>
    <w:rsid w:val="00594B01"/>
    <w:rsid w:val="0059566D"/>
    <w:rsid w:val="00597146"/>
    <w:rsid w:val="005A159A"/>
    <w:rsid w:val="005A334B"/>
    <w:rsid w:val="005A73BC"/>
    <w:rsid w:val="005A7F20"/>
    <w:rsid w:val="005B1006"/>
    <w:rsid w:val="005B6F5A"/>
    <w:rsid w:val="005B759C"/>
    <w:rsid w:val="005C20D7"/>
    <w:rsid w:val="005C2333"/>
    <w:rsid w:val="005C53FE"/>
    <w:rsid w:val="005C56FD"/>
    <w:rsid w:val="005C70CA"/>
    <w:rsid w:val="005C7DD8"/>
    <w:rsid w:val="005D00C4"/>
    <w:rsid w:val="005D5D53"/>
    <w:rsid w:val="005D6C86"/>
    <w:rsid w:val="005D7D75"/>
    <w:rsid w:val="005E0ACC"/>
    <w:rsid w:val="005E0AEB"/>
    <w:rsid w:val="005E0C23"/>
    <w:rsid w:val="005E0DD4"/>
    <w:rsid w:val="005E1727"/>
    <w:rsid w:val="005E5064"/>
    <w:rsid w:val="005E54EB"/>
    <w:rsid w:val="005F1040"/>
    <w:rsid w:val="005F24DE"/>
    <w:rsid w:val="005F2DFD"/>
    <w:rsid w:val="005F4427"/>
    <w:rsid w:val="005F64A1"/>
    <w:rsid w:val="00605436"/>
    <w:rsid w:val="006114D5"/>
    <w:rsid w:val="00612DC5"/>
    <w:rsid w:val="006139CA"/>
    <w:rsid w:val="00615669"/>
    <w:rsid w:val="006204CF"/>
    <w:rsid w:val="00621FDF"/>
    <w:rsid w:val="00623083"/>
    <w:rsid w:val="0062343F"/>
    <w:rsid w:val="00624B1E"/>
    <w:rsid w:val="0062617A"/>
    <w:rsid w:val="00626741"/>
    <w:rsid w:val="00627850"/>
    <w:rsid w:val="00630B18"/>
    <w:rsid w:val="0063263F"/>
    <w:rsid w:val="00632689"/>
    <w:rsid w:val="006336F5"/>
    <w:rsid w:val="00633F44"/>
    <w:rsid w:val="00637676"/>
    <w:rsid w:val="00641893"/>
    <w:rsid w:val="00646F5F"/>
    <w:rsid w:val="00650D04"/>
    <w:rsid w:val="00654251"/>
    <w:rsid w:val="006542F3"/>
    <w:rsid w:val="00654841"/>
    <w:rsid w:val="00654B1D"/>
    <w:rsid w:val="00655AAE"/>
    <w:rsid w:val="00657558"/>
    <w:rsid w:val="00660308"/>
    <w:rsid w:val="00660FF1"/>
    <w:rsid w:val="00662E18"/>
    <w:rsid w:val="00669924"/>
    <w:rsid w:val="00670D4D"/>
    <w:rsid w:val="00671ABF"/>
    <w:rsid w:val="00672A52"/>
    <w:rsid w:val="00676425"/>
    <w:rsid w:val="006769AD"/>
    <w:rsid w:val="00683038"/>
    <w:rsid w:val="006832D3"/>
    <w:rsid w:val="006847F6"/>
    <w:rsid w:val="0068698F"/>
    <w:rsid w:val="00686AA4"/>
    <w:rsid w:val="00687B45"/>
    <w:rsid w:val="00687EED"/>
    <w:rsid w:val="00690D05"/>
    <w:rsid w:val="00697102"/>
    <w:rsid w:val="006A1FDA"/>
    <w:rsid w:val="006A3B13"/>
    <w:rsid w:val="006A682F"/>
    <w:rsid w:val="006B10C3"/>
    <w:rsid w:val="006B2BE8"/>
    <w:rsid w:val="006B4CBD"/>
    <w:rsid w:val="006D2F5C"/>
    <w:rsid w:val="006D574E"/>
    <w:rsid w:val="006D6A82"/>
    <w:rsid w:val="006E0D86"/>
    <w:rsid w:val="006E101F"/>
    <w:rsid w:val="006E18EB"/>
    <w:rsid w:val="006E3A86"/>
    <w:rsid w:val="006E42C0"/>
    <w:rsid w:val="006E4386"/>
    <w:rsid w:val="006E60D1"/>
    <w:rsid w:val="006F13D9"/>
    <w:rsid w:val="006F22DD"/>
    <w:rsid w:val="006F25D2"/>
    <w:rsid w:val="006F52C3"/>
    <w:rsid w:val="006F5923"/>
    <w:rsid w:val="006F6215"/>
    <w:rsid w:val="006F75B6"/>
    <w:rsid w:val="007015B9"/>
    <w:rsid w:val="00702538"/>
    <w:rsid w:val="007033DC"/>
    <w:rsid w:val="00706057"/>
    <w:rsid w:val="00707A04"/>
    <w:rsid w:val="00711E01"/>
    <w:rsid w:val="00711E05"/>
    <w:rsid w:val="00716B53"/>
    <w:rsid w:val="00716ED7"/>
    <w:rsid w:val="00721370"/>
    <w:rsid w:val="00721983"/>
    <w:rsid w:val="007232BC"/>
    <w:rsid w:val="007312E9"/>
    <w:rsid w:val="00731B2E"/>
    <w:rsid w:val="007324EC"/>
    <w:rsid w:val="0073795B"/>
    <w:rsid w:val="00751A19"/>
    <w:rsid w:val="00755D42"/>
    <w:rsid w:val="007704C2"/>
    <w:rsid w:val="0077254B"/>
    <w:rsid w:val="00773A96"/>
    <w:rsid w:val="00774932"/>
    <w:rsid w:val="00774A6A"/>
    <w:rsid w:val="00775EC8"/>
    <w:rsid w:val="007765D8"/>
    <w:rsid w:val="007776FD"/>
    <w:rsid w:val="00784B8B"/>
    <w:rsid w:val="0078504F"/>
    <w:rsid w:val="00786DEA"/>
    <w:rsid w:val="00790AEA"/>
    <w:rsid w:val="00791B85"/>
    <w:rsid w:val="007942E6"/>
    <w:rsid w:val="007946A7"/>
    <w:rsid w:val="00797184"/>
    <w:rsid w:val="007A2614"/>
    <w:rsid w:val="007A549E"/>
    <w:rsid w:val="007B10DE"/>
    <w:rsid w:val="007B5D6C"/>
    <w:rsid w:val="007B733B"/>
    <w:rsid w:val="007C11D9"/>
    <w:rsid w:val="007C20A9"/>
    <w:rsid w:val="007C28AD"/>
    <w:rsid w:val="007C311A"/>
    <w:rsid w:val="007C4B88"/>
    <w:rsid w:val="007C7B6C"/>
    <w:rsid w:val="007D5279"/>
    <w:rsid w:val="007D6934"/>
    <w:rsid w:val="007E1E7A"/>
    <w:rsid w:val="007E333C"/>
    <w:rsid w:val="007E45D0"/>
    <w:rsid w:val="007E48F7"/>
    <w:rsid w:val="007F2268"/>
    <w:rsid w:val="007F280C"/>
    <w:rsid w:val="007F6C4F"/>
    <w:rsid w:val="007F6C95"/>
    <w:rsid w:val="008009FD"/>
    <w:rsid w:val="00804DC8"/>
    <w:rsid w:val="008050E5"/>
    <w:rsid w:val="008121C4"/>
    <w:rsid w:val="00812DCA"/>
    <w:rsid w:val="00813061"/>
    <w:rsid w:val="00815E4E"/>
    <w:rsid w:val="008249F3"/>
    <w:rsid w:val="00827AB0"/>
    <w:rsid w:val="00832B2B"/>
    <w:rsid w:val="00835D9A"/>
    <w:rsid w:val="00836BA6"/>
    <w:rsid w:val="00837123"/>
    <w:rsid w:val="00840576"/>
    <w:rsid w:val="00841874"/>
    <w:rsid w:val="008448AE"/>
    <w:rsid w:val="008461B8"/>
    <w:rsid w:val="00846769"/>
    <w:rsid w:val="008469C0"/>
    <w:rsid w:val="0085240C"/>
    <w:rsid w:val="00854535"/>
    <w:rsid w:val="00854D6A"/>
    <w:rsid w:val="008563FD"/>
    <w:rsid w:val="00856F2B"/>
    <w:rsid w:val="00861CB6"/>
    <w:rsid w:val="008621DA"/>
    <w:rsid w:val="0086629D"/>
    <w:rsid w:val="008662E4"/>
    <w:rsid w:val="00871B35"/>
    <w:rsid w:val="008738D0"/>
    <w:rsid w:val="008746D5"/>
    <w:rsid w:val="0087745D"/>
    <w:rsid w:val="0087785C"/>
    <w:rsid w:val="008804D1"/>
    <w:rsid w:val="008828F6"/>
    <w:rsid w:val="00883734"/>
    <w:rsid w:val="00884ECE"/>
    <w:rsid w:val="00885193"/>
    <w:rsid w:val="0089244E"/>
    <w:rsid w:val="00892D67"/>
    <w:rsid w:val="0089373A"/>
    <w:rsid w:val="008945D7"/>
    <w:rsid w:val="008A1E82"/>
    <w:rsid w:val="008A4455"/>
    <w:rsid w:val="008B472C"/>
    <w:rsid w:val="008B5677"/>
    <w:rsid w:val="008B7AFA"/>
    <w:rsid w:val="008C3782"/>
    <w:rsid w:val="008C5F08"/>
    <w:rsid w:val="008C71FB"/>
    <w:rsid w:val="008D4C33"/>
    <w:rsid w:val="008D5E95"/>
    <w:rsid w:val="008E2B8B"/>
    <w:rsid w:val="008E7992"/>
    <w:rsid w:val="008E7C4C"/>
    <w:rsid w:val="008E7CEB"/>
    <w:rsid w:val="008F0278"/>
    <w:rsid w:val="008F2BF1"/>
    <w:rsid w:val="008F4336"/>
    <w:rsid w:val="008F7EFD"/>
    <w:rsid w:val="00900A5E"/>
    <w:rsid w:val="00904807"/>
    <w:rsid w:val="009119E8"/>
    <w:rsid w:val="00911BDA"/>
    <w:rsid w:val="00913077"/>
    <w:rsid w:val="00915669"/>
    <w:rsid w:val="00916836"/>
    <w:rsid w:val="0092002D"/>
    <w:rsid w:val="00921813"/>
    <w:rsid w:val="00921B08"/>
    <w:rsid w:val="00923A65"/>
    <w:rsid w:val="00924F0A"/>
    <w:rsid w:val="00926D8D"/>
    <w:rsid w:val="00930D5E"/>
    <w:rsid w:val="00930DC8"/>
    <w:rsid w:val="00932E22"/>
    <w:rsid w:val="00933660"/>
    <w:rsid w:val="0094104E"/>
    <w:rsid w:val="009418DC"/>
    <w:rsid w:val="0094219E"/>
    <w:rsid w:val="009437D7"/>
    <w:rsid w:val="00944E17"/>
    <w:rsid w:val="0095062D"/>
    <w:rsid w:val="00950FEF"/>
    <w:rsid w:val="0095128B"/>
    <w:rsid w:val="00952A45"/>
    <w:rsid w:val="009530C5"/>
    <w:rsid w:val="00953112"/>
    <w:rsid w:val="009534FD"/>
    <w:rsid w:val="00954F13"/>
    <w:rsid w:val="00955578"/>
    <w:rsid w:val="00962D19"/>
    <w:rsid w:val="00965C98"/>
    <w:rsid w:val="00967570"/>
    <w:rsid w:val="00970FA4"/>
    <w:rsid w:val="00973889"/>
    <w:rsid w:val="00975B33"/>
    <w:rsid w:val="00980B50"/>
    <w:rsid w:val="00981D60"/>
    <w:rsid w:val="0098566A"/>
    <w:rsid w:val="00986AE2"/>
    <w:rsid w:val="00986F18"/>
    <w:rsid w:val="00990EF5"/>
    <w:rsid w:val="00991FC9"/>
    <w:rsid w:val="009A2A4C"/>
    <w:rsid w:val="009A4722"/>
    <w:rsid w:val="009B05EB"/>
    <w:rsid w:val="009B2219"/>
    <w:rsid w:val="009B500C"/>
    <w:rsid w:val="009B6193"/>
    <w:rsid w:val="009B6F0E"/>
    <w:rsid w:val="009C363D"/>
    <w:rsid w:val="009C3EDB"/>
    <w:rsid w:val="009C3F57"/>
    <w:rsid w:val="009C6EA8"/>
    <w:rsid w:val="009C775D"/>
    <w:rsid w:val="009C7CFA"/>
    <w:rsid w:val="009D057A"/>
    <w:rsid w:val="009D14A5"/>
    <w:rsid w:val="009D2747"/>
    <w:rsid w:val="009D2EF7"/>
    <w:rsid w:val="009D3737"/>
    <w:rsid w:val="009D4B40"/>
    <w:rsid w:val="009E1486"/>
    <w:rsid w:val="009E2216"/>
    <w:rsid w:val="009E32FB"/>
    <w:rsid w:val="009E3A74"/>
    <w:rsid w:val="009E5799"/>
    <w:rsid w:val="009F153B"/>
    <w:rsid w:val="009F2577"/>
    <w:rsid w:val="009F2A5A"/>
    <w:rsid w:val="009F37CF"/>
    <w:rsid w:val="009F41D1"/>
    <w:rsid w:val="009F7469"/>
    <w:rsid w:val="00A00EEF"/>
    <w:rsid w:val="00A0123D"/>
    <w:rsid w:val="00A01543"/>
    <w:rsid w:val="00A0309B"/>
    <w:rsid w:val="00A033FC"/>
    <w:rsid w:val="00A072E3"/>
    <w:rsid w:val="00A13A1E"/>
    <w:rsid w:val="00A13C2B"/>
    <w:rsid w:val="00A13DD2"/>
    <w:rsid w:val="00A21796"/>
    <w:rsid w:val="00A23263"/>
    <w:rsid w:val="00A265BC"/>
    <w:rsid w:val="00A30F00"/>
    <w:rsid w:val="00A30FBA"/>
    <w:rsid w:val="00A3247D"/>
    <w:rsid w:val="00A33EB0"/>
    <w:rsid w:val="00A34AA5"/>
    <w:rsid w:val="00A40018"/>
    <w:rsid w:val="00A51398"/>
    <w:rsid w:val="00A52E8D"/>
    <w:rsid w:val="00A52F8E"/>
    <w:rsid w:val="00A5322C"/>
    <w:rsid w:val="00A53C80"/>
    <w:rsid w:val="00A55BF0"/>
    <w:rsid w:val="00A6010E"/>
    <w:rsid w:val="00A63CF8"/>
    <w:rsid w:val="00A66FB3"/>
    <w:rsid w:val="00A72949"/>
    <w:rsid w:val="00A73817"/>
    <w:rsid w:val="00A8009F"/>
    <w:rsid w:val="00A8078C"/>
    <w:rsid w:val="00A80D28"/>
    <w:rsid w:val="00A818E7"/>
    <w:rsid w:val="00A82EBA"/>
    <w:rsid w:val="00A83244"/>
    <w:rsid w:val="00A8542C"/>
    <w:rsid w:val="00A869AA"/>
    <w:rsid w:val="00A87441"/>
    <w:rsid w:val="00A878F0"/>
    <w:rsid w:val="00A9059A"/>
    <w:rsid w:val="00A90BC6"/>
    <w:rsid w:val="00A91A4F"/>
    <w:rsid w:val="00A944C6"/>
    <w:rsid w:val="00A95C07"/>
    <w:rsid w:val="00A95FED"/>
    <w:rsid w:val="00AA3982"/>
    <w:rsid w:val="00AB672B"/>
    <w:rsid w:val="00AB7711"/>
    <w:rsid w:val="00AC034B"/>
    <w:rsid w:val="00AC0615"/>
    <w:rsid w:val="00AC084A"/>
    <w:rsid w:val="00AC3631"/>
    <w:rsid w:val="00AC373A"/>
    <w:rsid w:val="00AC41AC"/>
    <w:rsid w:val="00AC488F"/>
    <w:rsid w:val="00AC6B74"/>
    <w:rsid w:val="00AD1760"/>
    <w:rsid w:val="00AD1DDB"/>
    <w:rsid w:val="00AD3C5C"/>
    <w:rsid w:val="00AD677D"/>
    <w:rsid w:val="00AD714C"/>
    <w:rsid w:val="00AE1D2B"/>
    <w:rsid w:val="00AE2160"/>
    <w:rsid w:val="00AE320F"/>
    <w:rsid w:val="00AE3B2C"/>
    <w:rsid w:val="00AE5597"/>
    <w:rsid w:val="00AE6857"/>
    <w:rsid w:val="00AE6CB7"/>
    <w:rsid w:val="00AE7173"/>
    <w:rsid w:val="00AF0279"/>
    <w:rsid w:val="00AF1F45"/>
    <w:rsid w:val="00AF3969"/>
    <w:rsid w:val="00AF6E90"/>
    <w:rsid w:val="00B03556"/>
    <w:rsid w:val="00B04AC0"/>
    <w:rsid w:val="00B10627"/>
    <w:rsid w:val="00B11A39"/>
    <w:rsid w:val="00B17170"/>
    <w:rsid w:val="00B204BF"/>
    <w:rsid w:val="00B20B75"/>
    <w:rsid w:val="00B215E6"/>
    <w:rsid w:val="00B24704"/>
    <w:rsid w:val="00B2542B"/>
    <w:rsid w:val="00B33BB4"/>
    <w:rsid w:val="00B35B04"/>
    <w:rsid w:val="00B35C8A"/>
    <w:rsid w:val="00B360BE"/>
    <w:rsid w:val="00B36D58"/>
    <w:rsid w:val="00B40CD5"/>
    <w:rsid w:val="00B413AE"/>
    <w:rsid w:val="00B41CB6"/>
    <w:rsid w:val="00B45379"/>
    <w:rsid w:val="00B45F93"/>
    <w:rsid w:val="00B526D7"/>
    <w:rsid w:val="00B611AE"/>
    <w:rsid w:val="00B6282E"/>
    <w:rsid w:val="00B67901"/>
    <w:rsid w:val="00B702EB"/>
    <w:rsid w:val="00B7743D"/>
    <w:rsid w:val="00B80B55"/>
    <w:rsid w:val="00B812EA"/>
    <w:rsid w:val="00B87B90"/>
    <w:rsid w:val="00B90D86"/>
    <w:rsid w:val="00B944BF"/>
    <w:rsid w:val="00B973A0"/>
    <w:rsid w:val="00BA25BB"/>
    <w:rsid w:val="00BB2240"/>
    <w:rsid w:val="00BB29BD"/>
    <w:rsid w:val="00BB39B0"/>
    <w:rsid w:val="00BB3AA9"/>
    <w:rsid w:val="00BB648F"/>
    <w:rsid w:val="00BB66B0"/>
    <w:rsid w:val="00BB7E2E"/>
    <w:rsid w:val="00BC346F"/>
    <w:rsid w:val="00BC3980"/>
    <w:rsid w:val="00BC6405"/>
    <w:rsid w:val="00BC665E"/>
    <w:rsid w:val="00BD121F"/>
    <w:rsid w:val="00BD1BE6"/>
    <w:rsid w:val="00BD603B"/>
    <w:rsid w:val="00BD6167"/>
    <w:rsid w:val="00BE0F21"/>
    <w:rsid w:val="00BE3FC5"/>
    <w:rsid w:val="00BE45B5"/>
    <w:rsid w:val="00BE5433"/>
    <w:rsid w:val="00BE610A"/>
    <w:rsid w:val="00BE6510"/>
    <w:rsid w:val="00BE7B97"/>
    <w:rsid w:val="00BF09F2"/>
    <w:rsid w:val="00BF5443"/>
    <w:rsid w:val="00BF62FD"/>
    <w:rsid w:val="00BF6726"/>
    <w:rsid w:val="00C00767"/>
    <w:rsid w:val="00C020AA"/>
    <w:rsid w:val="00C0267B"/>
    <w:rsid w:val="00C03071"/>
    <w:rsid w:val="00C045EF"/>
    <w:rsid w:val="00C05039"/>
    <w:rsid w:val="00C05691"/>
    <w:rsid w:val="00C123A6"/>
    <w:rsid w:val="00C14870"/>
    <w:rsid w:val="00C161E0"/>
    <w:rsid w:val="00C17201"/>
    <w:rsid w:val="00C21D59"/>
    <w:rsid w:val="00C24010"/>
    <w:rsid w:val="00C24AC2"/>
    <w:rsid w:val="00C24CD0"/>
    <w:rsid w:val="00C30588"/>
    <w:rsid w:val="00C31842"/>
    <w:rsid w:val="00C323DF"/>
    <w:rsid w:val="00C3730C"/>
    <w:rsid w:val="00C3762E"/>
    <w:rsid w:val="00C4413E"/>
    <w:rsid w:val="00C44B2E"/>
    <w:rsid w:val="00C45DC9"/>
    <w:rsid w:val="00C519A8"/>
    <w:rsid w:val="00C53ABE"/>
    <w:rsid w:val="00C54154"/>
    <w:rsid w:val="00C554A6"/>
    <w:rsid w:val="00C56D1D"/>
    <w:rsid w:val="00C57126"/>
    <w:rsid w:val="00C61CC5"/>
    <w:rsid w:val="00C63067"/>
    <w:rsid w:val="00C65B58"/>
    <w:rsid w:val="00C66A85"/>
    <w:rsid w:val="00C66E84"/>
    <w:rsid w:val="00C67A5C"/>
    <w:rsid w:val="00C720D3"/>
    <w:rsid w:val="00C72C88"/>
    <w:rsid w:val="00C73346"/>
    <w:rsid w:val="00C7507E"/>
    <w:rsid w:val="00C7749E"/>
    <w:rsid w:val="00C80D64"/>
    <w:rsid w:val="00C85F83"/>
    <w:rsid w:val="00C91249"/>
    <w:rsid w:val="00C914EF"/>
    <w:rsid w:val="00C9222F"/>
    <w:rsid w:val="00C92494"/>
    <w:rsid w:val="00C92496"/>
    <w:rsid w:val="00C94E63"/>
    <w:rsid w:val="00CA2615"/>
    <w:rsid w:val="00CA3180"/>
    <w:rsid w:val="00CA3A0D"/>
    <w:rsid w:val="00CA3F14"/>
    <w:rsid w:val="00CA5EAE"/>
    <w:rsid w:val="00CA6EBA"/>
    <w:rsid w:val="00CA7142"/>
    <w:rsid w:val="00CA7C0C"/>
    <w:rsid w:val="00CB3009"/>
    <w:rsid w:val="00CB31D1"/>
    <w:rsid w:val="00CB453E"/>
    <w:rsid w:val="00CB4BD8"/>
    <w:rsid w:val="00CC078B"/>
    <w:rsid w:val="00CC113E"/>
    <w:rsid w:val="00CC4EB8"/>
    <w:rsid w:val="00CD3A35"/>
    <w:rsid w:val="00CD4B79"/>
    <w:rsid w:val="00CD5BB1"/>
    <w:rsid w:val="00CD5FCC"/>
    <w:rsid w:val="00CD6BF1"/>
    <w:rsid w:val="00CD6EBF"/>
    <w:rsid w:val="00CD78D3"/>
    <w:rsid w:val="00CE2FD6"/>
    <w:rsid w:val="00CE46C2"/>
    <w:rsid w:val="00CE4B6A"/>
    <w:rsid w:val="00CE5518"/>
    <w:rsid w:val="00CE5581"/>
    <w:rsid w:val="00CE58CA"/>
    <w:rsid w:val="00CE63C8"/>
    <w:rsid w:val="00CE6565"/>
    <w:rsid w:val="00CE6E83"/>
    <w:rsid w:val="00CF23F7"/>
    <w:rsid w:val="00CF3A09"/>
    <w:rsid w:val="00CF663B"/>
    <w:rsid w:val="00CF7C2E"/>
    <w:rsid w:val="00CF7D74"/>
    <w:rsid w:val="00D023B7"/>
    <w:rsid w:val="00D04868"/>
    <w:rsid w:val="00D10A6A"/>
    <w:rsid w:val="00D11024"/>
    <w:rsid w:val="00D11F35"/>
    <w:rsid w:val="00D166B2"/>
    <w:rsid w:val="00D207A4"/>
    <w:rsid w:val="00D2250B"/>
    <w:rsid w:val="00D30130"/>
    <w:rsid w:val="00D340F2"/>
    <w:rsid w:val="00D34292"/>
    <w:rsid w:val="00D4108F"/>
    <w:rsid w:val="00D435AC"/>
    <w:rsid w:val="00D44256"/>
    <w:rsid w:val="00D45F53"/>
    <w:rsid w:val="00D464C3"/>
    <w:rsid w:val="00D527AE"/>
    <w:rsid w:val="00D52C6F"/>
    <w:rsid w:val="00D52F59"/>
    <w:rsid w:val="00D54124"/>
    <w:rsid w:val="00D54199"/>
    <w:rsid w:val="00D57FF4"/>
    <w:rsid w:val="00D60CC5"/>
    <w:rsid w:val="00D646E1"/>
    <w:rsid w:val="00D64821"/>
    <w:rsid w:val="00D64851"/>
    <w:rsid w:val="00D65EE3"/>
    <w:rsid w:val="00D664A2"/>
    <w:rsid w:val="00D67B1A"/>
    <w:rsid w:val="00D75BE9"/>
    <w:rsid w:val="00D75E25"/>
    <w:rsid w:val="00D761ED"/>
    <w:rsid w:val="00D762B2"/>
    <w:rsid w:val="00D770F1"/>
    <w:rsid w:val="00D81967"/>
    <w:rsid w:val="00D873C9"/>
    <w:rsid w:val="00D87729"/>
    <w:rsid w:val="00D902BA"/>
    <w:rsid w:val="00D915F7"/>
    <w:rsid w:val="00D9165F"/>
    <w:rsid w:val="00D94135"/>
    <w:rsid w:val="00D94B40"/>
    <w:rsid w:val="00DA160D"/>
    <w:rsid w:val="00DA1B43"/>
    <w:rsid w:val="00DB0DD5"/>
    <w:rsid w:val="00DB17DE"/>
    <w:rsid w:val="00DB1DDB"/>
    <w:rsid w:val="00DB3D5B"/>
    <w:rsid w:val="00DB541A"/>
    <w:rsid w:val="00DB5E66"/>
    <w:rsid w:val="00DB65BC"/>
    <w:rsid w:val="00DB6932"/>
    <w:rsid w:val="00DC090E"/>
    <w:rsid w:val="00DC308C"/>
    <w:rsid w:val="00DC5B5A"/>
    <w:rsid w:val="00DC5D9A"/>
    <w:rsid w:val="00DD3DB3"/>
    <w:rsid w:val="00DD3EE5"/>
    <w:rsid w:val="00DD41F0"/>
    <w:rsid w:val="00DD6F63"/>
    <w:rsid w:val="00DD6FDE"/>
    <w:rsid w:val="00DE0FC9"/>
    <w:rsid w:val="00DE2FC4"/>
    <w:rsid w:val="00DE5491"/>
    <w:rsid w:val="00DE5FC5"/>
    <w:rsid w:val="00DE6360"/>
    <w:rsid w:val="00DF1042"/>
    <w:rsid w:val="00DF3B0C"/>
    <w:rsid w:val="00DF3EDD"/>
    <w:rsid w:val="00DF471F"/>
    <w:rsid w:val="00DF4AE4"/>
    <w:rsid w:val="00E0313A"/>
    <w:rsid w:val="00E03DC0"/>
    <w:rsid w:val="00E06910"/>
    <w:rsid w:val="00E06A1C"/>
    <w:rsid w:val="00E1111F"/>
    <w:rsid w:val="00E1117B"/>
    <w:rsid w:val="00E11EFF"/>
    <w:rsid w:val="00E13084"/>
    <w:rsid w:val="00E14B3F"/>
    <w:rsid w:val="00E14CBF"/>
    <w:rsid w:val="00E16862"/>
    <w:rsid w:val="00E174DA"/>
    <w:rsid w:val="00E17A41"/>
    <w:rsid w:val="00E210EA"/>
    <w:rsid w:val="00E2658B"/>
    <w:rsid w:val="00E32EBD"/>
    <w:rsid w:val="00E33E6F"/>
    <w:rsid w:val="00E34069"/>
    <w:rsid w:val="00E3556A"/>
    <w:rsid w:val="00E4062E"/>
    <w:rsid w:val="00E413FE"/>
    <w:rsid w:val="00E41BEF"/>
    <w:rsid w:val="00E4609E"/>
    <w:rsid w:val="00E51018"/>
    <w:rsid w:val="00E61DE8"/>
    <w:rsid w:val="00E6247E"/>
    <w:rsid w:val="00E65258"/>
    <w:rsid w:val="00E672B0"/>
    <w:rsid w:val="00E672F8"/>
    <w:rsid w:val="00E678DB"/>
    <w:rsid w:val="00E713DD"/>
    <w:rsid w:val="00E81CA3"/>
    <w:rsid w:val="00E84372"/>
    <w:rsid w:val="00E868BF"/>
    <w:rsid w:val="00E91106"/>
    <w:rsid w:val="00E9136E"/>
    <w:rsid w:val="00E94E0D"/>
    <w:rsid w:val="00EA24D9"/>
    <w:rsid w:val="00EA473C"/>
    <w:rsid w:val="00EA5D02"/>
    <w:rsid w:val="00EA69A0"/>
    <w:rsid w:val="00EA79A5"/>
    <w:rsid w:val="00EB105E"/>
    <w:rsid w:val="00EC2380"/>
    <w:rsid w:val="00EC39E0"/>
    <w:rsid w:val="00EC3E60"/>
    <w:rsid w:val="00EC475F"/>
    <w:rsid w:val="00EC4A86"/>
    <w:rsid w:val="00ED0BA6"/>
    <w:rsid w:val="00ED1845"/>
    <w:rsid w:val="00ED2527"/>
    <w:rsid w:val="00ED2939"/>
    <w:rsid w:val="00EE221E"/>
    <w:rsid w:val="00EE43A5"/>
    <w:rsid w:val="00EE4CE2"/>
    <w:rsid w:val="00EE4ECF"/>
    <w:rsid w:val="00EE57E4"/>
    <w:rsid w:val="00EE5AC2"/>
    <w:rsid w:val="00EF3453"/>
    <w:rsid w:val="00EF41F9"/>
    <w:rsid w:val="00EF5313"/>
    <w:rsid w:val="00F03C7E"/>
    <w:rsid w:val="00F03F00"/>
    <w:rsid w:val="00F04566"/>
    <w:rsid w:val="00F1010B"/>
    <w:rsid w:val="00F10139"/>
    <w:rsid w:val="00F108DB"/>
    <w:rsid w:val="00F12971"/>
    <w:rsid w:val="00F17309"/>
    <w:rsid w:val="00F23D26"/>
    <w:rsid w:val="00F25C32"/>
    <w:rsid w:val="00F34860"/>
    <w:rsid w:val="00F36F9B"/>
    <w:rsid w:val="00F371E5"/>
    <w:rsid w:val="00F376D8"/>
    <w:rsid w:val="00F41DD7"/>
    <w:rsid w:val="00F433F3"/>
    <w:rsid w:val="00F43561"/>
    <w:rsid w:val="00F44161"/>
    <w:rsid w:val="00F449F2"/>
    <w:rsid w:val="00F46F14"/>
    <w:rsid w:val="00F50576"/>
    <w:rsid w:val="00F51ADD"/>
    <w:rsid w:val="00F5334A"/>
    <w:rsid w:val="00F5499A"/>
    <w:rsid w:val="00F607EE"/>
    <w:rsid w:val="00F62162"/>
    <w:rsid w:val="00F62C15"/>
    <w:rsid w:val="00F65285"/>
    <w:rsid w:val="00F65E02"/>
    <w:rsid w:val="00F66800"/>
    <w:rsid w:val="00F6715F"/>
    <w:rsid w:val="00F67F3E"/>
    <w:rsid w:val="00F72DA3"/>
    <w:rsid w:val="00F73F37"/>
    <w:rsid w:val="00F77550"/>
    <w:rsid w:val="00F77648"/>
    <w:rsid w:val="00F81643"/>
    <w:rsid w:val="00F81659"/>
    <w:rsid w:val="00F845F9"/>
    <w:rsid w:val="00F91F11"/>
    <w:rsid w:val="00F94C3B"/>
    <w:rsid w:val="00F95B66"/>
    <w:rsid w:val="00FA33BA"/>
    <w:rsid w:val="00FA3469"/>
    <w:rsid w:val="00FA37F8"/>
    <w:rsid w:val="00FA5857"/>
    <w:rsid w:val="00FA58D9"/>
    <w:rsid w:val="00FB1097"/>
    <w:rsid w:val="00FB1894"/>
    <w:rsid w:val="00FB2036"/>
    <w:rsid w:val="00FB48BF"/>
    <w:rsid w:val="00FB5DDA"/>
    <w:rsid w:val="00FC371A"/>
    <w:rsid w:val="00FC6A30"/>
    <w:rsid w:val="00FC7999"/>
    <w:rsid w:val="00FD1207"/>
    <w:rsid w:val="00FD20E8"/>
    <w:rsid w:val="00FD5B07"/>
    <w:rsid w:val="00FD6112"/>
    <w:rsid w:val="00FD6214"/>
    <w:rsid w:val="00FD667D"/>
    <w:rsid w:val="00FE4BC9"/>
    <w:rsid w:val="00FF1946"/>
    <w:rsid w:val="00FF2337"/>
    <w:rsid w:val="00FF2427"/>
    <w:rsid w:val="00FF3093"/>
    <w:rsid w:val="00FF5669"/>
    <w:rsid w:val="00FF6300"/>
    <w:rsid w:val="00FF7D57"/>
    <w:rsid w:val="014D9B38"/>
    <w:rsid w:val="01E35876"/>
    <w:rsid w:val="0C6D5F32"/>
    <w:rsid w:val="0D05A642"/>
    <w:rsid w:val="0D3D5639"/>
    <w:rsid w:val="0DF5ED5C"/>
    <w:rsid w:val="0E30D619"/>
    <w:rsid w:val="0E49C25E"/>
    <w:rsid w:val="0E7DE6F3"/>
    <w:rsid w:val="1008BDB0"/>
    <w:rsid w:val="112FFD60"/>
    <w:rsid w:val="1162D467"/>
    <w:rsid w:val="1445E0F7"/>
    <w:rsid w:val="14817CD6"/>
    <w:rsid w:val="16B65B23"/>
    <w:rsid w:val="17474E63"/>
    <w:rsid w:val="1803721C"/>
    <w:rsid w:val="1A1A4ACA"/>
    <w:rsid w:val="1B3550BD"/>
    <w:rsid w:val="1B60812E"/>
    <w:rsid w:val="1D7D4798"/>
    <w:rsid w:val="1D7F6403"/>
    <w:rsid w:val="1DCCFF4B"/>
    <w:rsid w:val="1EC0275A"/>
    <w:rsid w:val="1F0C8837"/>
    <w:rsid w:val="1F5BABCA"/>
    <w:rsid w:val="1FDB0C31"/>
    <w:rsid w:val="200328FC"/>
    <w:rsid w:val="21186435"/>
    <w:rsid w:val="2213DDFB"/>
    <w:rsid w:val="2228445C"/>
    <w:rsid w:val="2296165E"/>
    <w:rsid w:val="2421014C"/>
    <w:rsid w:val="2429EB5A"/>
    <w:rsid w:val="26E9CF12"/>
    <w:rsid w:val="27208481"/>
    <w:rsid w:val="28529E7A"/>
    <w:rsid w:val="2B8A3BB8"/>
    <w:rsid w:val="2BAA3D83"/>
    <w:rsid w:val="2BF4E060"/>
    <w:rsid w:val="2D51F360"/>
    <w:rsid w:val="2D7BC93D"/>
    <w:rsid w:val="2FCA534E"/>
    <w:rsid w:val="3005963B"/>
    <w:rsid w:val="304D593A"/>
    <w:rsid w:val="30786490"/>
    <w:rsid w:val="30B73401"/>
    <w:rsid w:val="31358897"/>
    <w:rsid w:val="32428AD0"/>
    <w:rsid w:val="33D0D471"/>
    <w:rsid w:val="34C295FB"/>
    <w:rsid w:val="35425B86"/>
    <w:rsid w:val="3546D20D"/>
    <w:rsid w:val="3845EFF0"/>
    <w:rsid w:val="390CDFD4"/>
    <w:rsid w:val="396354C1"/>
    <w:rsid w:val="3ACC3796"/>
    <w:rsid w:val="3B026F94"/>
    <w:rsid w:val="3CD3D8B1"/>
    <w:rsid w:val="4070A1E6"/>
    <w:rsid w:val="421504AC"/>
    <w:rsid w:val="42B34800"/>
    <w:rsid w:val="43352C36"/>
    <w:rsid w:val="4508C6BC"/>
    <w:rsid w:val="4551981E"/>
    <w:rsid w:val="461E3E73"/>
    <w:rsid w:val="47428108"/>
    <w:rsid w:val="49279C65"/>
    <w:rsid w:val="4CC2480E"/>
    <w:rsid w:val="4DAFC5AE"/>
    <w:rsid w:val="517C5328"/>
    <w:rsid w:val="51EE2438"/>
    <w:rsid w:val="55AD30DE"/>
    <w:rsid w:val="55CF4E1E"/>
    <w:rsid w:val="56616988"/>
    <w:rsid w:val="57D76A25"/>
    <w:rsid w:val="581CD3E9"/>
    <w:rsid w:val="58B78640"/>
    <w:rsid w:val="59596A46"/>
    <w:rsid w:val="5B186889"/>
    <w:rsid w:val="5C6DF3BC"/>
    <w:rsid w:val="5CDBF1FD"/>
    <w:rsid w:val="5E813868"/>
    <w:rsid w:val="5EC3152D"/>
    <w:rsid w:val="5F51ECC5"/>
    <w:rsid w:val="5FB0D6C3"/>
    <w:rsid w:val="60EC31B6"/>
    <w:rsid w:val="613DE17C"/>
    <w:rsid w:val="617505DD"/>
    <w:rsid w:val="62C38886"/>
    <w:rsid w:val="6312BDE1"/>
    <w:rsid w:val="63A4DCFD"/>
    <w:rsid w:val="63BCF198"/>
    <w:rsid w:val="64E10375"/>
    <w:rsid w:val="64EC6E89"/>
    <w:rsid w:val="65E34BBB"/>
    <w:rsid w:val="66A0F2B3"/>
    <w:rsid w:val="693BFB3E"/>
    <w:rsid w:val="6D3210F0"/>
    <w:rsid w:val="6F04BC4A"/>
    <w:rsid w:val="6FA1BDF9"/>
    <w:rsid w:val="7057487C"/>
    <w:rsid w:val="70C63C3D"/>
    <w:rsid w:val="71376A0A"/>
    <w:rsid w:val="73360F4B"/>
    <w:rsid w:val="74457487"/>
    <w:rsid w:val="74C34D66"/>
    <w:rsid w:val="76C7E345"/>
    <w:rsid w:val="776E997D"/>
    <w:rsid w:val="77F86413"/>
    <w:rsid w:val="7828DF03"/>
    <w:rsid w:val="798A750C"/>
    <w:rsid w:val="7F569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52EEF"/>
  <w15:chartTrackingRefBased/>
  <w15:docId w15:val="{C3E70739-7BD7-40E5-8570-B637DC68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4FD"/>
    <w:pPr>
      <w:spacing w:after="120" w:line="288" w:lineRule="auto"/>
    </w:pPr>
    <w:rPr>
      <w:rFonts w:ascii="Arial" w:hAnsi="Arial"/>
      <w:spacing w:val="3"/>
      <w:kern w:val="0"/>
      <w:sz w:val="20"/>
      <w14:ligatures w14:val="none"/>
    </w:rPr>
  </w:style>
  <w:style w:type="paragraph" w:styleId="Heading1">
    <w:name w:val="heading 1"/>
    <w:basedOn w:val="Normal"/>
    <w:next w:val="Normal"/>
    <w:link w:val="Heading1Char"/>
    <w:uiPriority w:val="9"/>
    <w:qFormat/>
    <w:rsid w:val="00FC7999"/>
    <w:pPr>
      <w:spacing w:before="360" w:after="0" w:line="240" w:lineRule="auto"/>
      <w:contextualSpacing/>
      <w:outlineLvl w:val="0"/>
    </w:pPr>
    <w:rPr>
      <w:rFonts w:eastAsia="Times New Roman" w:cs="Times New Roman"/>
      <w:b/>
      <w:bCs/>
      <w:color w:val="592B5E"/>
      <w:sz w:val="52"/>
      <w:szCs w:val="28"/>
    </w:rPr>
  </w:style>
  <w:style w:type="paragraph" w:styleId="Heading2">
    <w:name w:val="heading 2"/>
    <w:basedOn w:val="Normal"/>
    <w:next w:val="Normal"/>
    <w:link w:val="Heading2Char"/>
    <w:uiPriority w:val="9"/>
    <w:unhideWhenUsed/>
    <w:qFormat/>
    <w:rsid w:val="00FC7999"/>
    <w:pPr>
      <w:keepNext/>
      <w:keepLines/>
      <w:spacing w:before="160" w:after="80"/>
      <w:outlineLvl w:val="1"/>
    </w:pPr>
    <w:rPr>
      <w:rFonts w:eastAsia="Times New Roman" w:cs="Times New Roman"/>
      <w:color w:val="422046"/>
      <w:sz w:val="28"/>
      <w:szCs w:val="32"/>
    </w:rPr>
  </w:style>
  <w:style w:type="paragraph" w:styleId="Heading3">
    <w:name w:val="heading 3"/>
    <w:basedOn w:val="Normal"/>
    <w:next w:val="Normal"/>
    <w:link w:val="Heading3Char"/>
    <w:uiPriority w:val="9"/>
    <w:unhideWhenUsed/>
    <w:qFormat/>
    <w:rsid w:val="00F17309"/>
    <w:pPr>
      <w:keepNext/>
      <w:keepLines/>
      <w:spacing w:before="160" w:after="80"/>
      <w:outlineLvl w:val="2"/>
    </w:pPr>
    <w:rPr>
      <w:rFonts w:eastAsia="Times New Roman" w:cs="Times New Roman"/>
      <w:color w:val="422046"/>
      <w:sz w:val="24"/>
      <w:szCs w:val="28"/>
    </w:rPr>
  </w:style>
  <w:style w:type="paragraph" w:styleId="Heading4">
    <w:name w:val="heading 4"/>
    <w:basedOn w:val="Normal"/>
    <w:next w:val="Normal"/>
    <w:link w:val="Heading4Char"/>
    <w:uiPriority w:val="9"/>
    <w:unhideWhenUsed/>
    <w:qFormat/>
    <w:rsid w:val="00F17309"/>
    <w:pPr>
      <w:keepNext/>
      <w:keepLines/>
      <w:spacing w:before="80" w:after="40"/>
      <w:outlineLvl w:val="3"/>
    </w:pPr>
    <w:rPr>
      <w:rFonts w:eastAsia="Times New Roman" w:cs="Times New Roman"/>
      <w:b/>
      <w:bCs/>
      <w:i/>
      <w:iCs/>
      <w:color w:val="422046"/>
    </w:rPr>
  </w:style>
  <w:style w:type="paragraph" w:styleId="Heading5">
    <w:name w:val="heading 5"/>
    <w:basedOn w:val="Normal"/>
    <w:next w:val="Normal"/>
    <w:link w:val="Heading5Char"/>
    <w:uiPriority w:val="9"/>
    <w:unhideWhenUsed/>
    <w:qFormat/>
    <w:rsid w:val="00F17309"/>
    <w:pPr>
      <w:keepNext/>
      <w:keepLines/>
      <w:spacing w:before="80" w:after="40"/>
      <w:outlineLvl w:val="4"/>
    </w:pPr>
    <w:rPr>
      <w:rFonts w:eastAsia="Times New Roman" w:cs="Times New Roman"/>
      <w:i/>
      <w:iCs/>
      <w:color w:val="422046"/>
    </w:rPr>
  </w:style>
  <w:style w:type="paragraph" w:styleId="Heading6">
    <w:name w:val="heading 6"/>
    <w:basedOn w:val="Normal"/>
    <w:next w:val="Normal"/>
    <w:link w:val="Heading6Char"/>
    <w:uiPriority w:val="9"/>
    <w:semiHidden/>
    <w:unhideWhenUsed/>
    <w:qFormat/>
    <w:rsid w:val="00F46F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6F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6F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6F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Quote">
    <w:name w:val="Introduction / Quote"/>
    <w:basedOn w:val="Normal"/>
    <w:uiPriority w:val="1"/>
    <w:qFormat/>
    <w:rsid w:val="001E1CE2"/>
    <w:rPr>
      <w:color w:val="000000" w:themeColor="text1"/>
      <w:sz w:val="24"/>
      <w:szCs w:val="22"/>
    </w:rPr>
  </w:style>
  <w:style w:type="paragraph" w:customStyle="1" w:styleId="TableChartheading">
    <w:name w:val="Table/Chart heading"/>
    <w:basedOn w:val="Caption"/>
    <w:next w:val="Normal"/>
    <w:uiPriority w:val="4"/>
    <w:qFormat/>
    <w:rsid w:val="00EE4CE2"/>
    <w:pPr>
      <w:spacing w:before="360" w:after="120" w:line="288" w:lineRule="auto"/>
    </w:pPr>
    <w:rPr>
      <w:b/>
      <w:bCs/>
      <w:i w:val="0"/>
      <w:iCs w:val="0"/>
      <w:color w:val="auto"/>
      <w:sz w:val="22"/>
    </w:rPr>
  </w:style>
  <w:style w:type="paragraph" w:styleId="Caption">
    <w:name w:val="caption"/>
    <w:basedOn w:val="Normal"/>
    <w:next w:val="Normal"/>
    <w:uiPriority w:val="35"/>
    <w:semiHidden/>
    <w:unhideWhenUsed/>
    <w:qFormat/>
    <w:rsid w:val="00EE4CE2"/>
    <w:pPr>
      <w:spacing w:after="200" w:line="240" w:lineRule="auto"/>
    </w:pPr>
    <w:rPr>
      <w:i/>
      <w:iCs/>
      <w:color w:val="116765" w:themeColor="text2"/>
      <w:sz w:val="18"/>
      <w:szCs w:val="18"/>
    </w:rPr>
  </w:style>
  <w:style w:type="paragraph" w:customStyle="1" w:styleId="Tableimagenote">
    <w:name w:val="Table/image note"/>
    <w:basedOn w:val="Normal"/>
    <w:next w:val="Normal"/>
    <w:uiPriority w:val="4"/>
    <w:qFormat/>
    <w:rsid w:val="00EE4CE2"/>
    <w:pPr>
      <w:spacing w:before="120"/>
      <w:contextualSpacing/>
    </w:pPr>
    <w:rPr>
      <w:color w:val="595959" w:themeColor="text1" w:themeTint="A6"/>
    </w:rPr>
  </w:style>
  <w:style w:type="paragraph" w:customStyle="1" w:styleId="IntroductoryText">
    <w:name w:val="Introductory Text"/>
    <w:basedOn w:val="Normal"/>
    <w:qFormat/>
    <w:rsid w:val="00FC7999"/>
    <w:rPr>
      <w:rFonts w:eastAsia="Aptos" w:cs="Times New Roman"/>
      <w:color w:val="000000"/>
      <w:sz w:val="24"/>
      <w:szCs w:val="22"/>
    </w:rPr>
  </w:style>
  <w:style w:type="paragraph" w:customStyle="1" w:styleId="Focus">
    <w:name w:val="Focus"/>
    <w:basedOn w:val="Normal"/>
    <w:rsid w:val="001A22C7"/>
    <w:pPr>
      <w:pBdr>
        <w:top w:val="single" w:sz="4" w:space="4" w:color="592B5E"/>
        <w:left w:val="single" w:sz="4" w:space="4" w:color="592B5E"/>
        <w:bottom w:val="single" w:sz="4" w:space="4" w:color="592B5E"/>
        <w:right w:val="single" w:sz="4" w:space="6" w:color="592B5E"/>
      </w:pBdr>
      <w:shd w:val="clear" w:color="auto" w:fill="FDF7DB"/>
    </w:pPr>
    <w:rPr>
      <w:rFonts w:eastAsia="Times New Roman" w:cs="Times New Roman"/>
      <w:szCs w:val="20"/>
    </w:rPr>
  </w:style>
  <w:style w:type="paragraph" w:styleId="NoSpacing">
    <w:name w:val="No Spacing"/>
    <w:basedOn w:val="Normal"/>
    <w:link w:val="NoSpacingChar"/>
    <w:uiPriority w:val="5"/>
    <w:qFormat/>
    <w:rsid w:val="00EE4CE2"/>
    <w:pPr>
      <w:spacing w:after="0" w:line="240" w:lineRule="auto"/>
    </w:pPr>
    <w:rPr>
      <w:rFonts w:asciiTheme="minorHAnsi" w:hAnsiTheme="minorHAnsi"/>
    </w:rPr>
  </w:style>
  <w:style w:type="character" w:customStyle="1" w:styleId="NoSpacingChar">
    <w:name w:val="No Spacing Char"/>
    <w:basedOn w:val="DefaultParagraphFont"/>
    <w:link w:val="NoSpacing"/>
    <w:uiPriority w:val="5"/>
    <w:rsid w:val="00EE4CE2"/>
    <w:rPr>
      <w:spacing w:val="3"/>
      <w:kern w:val="0"/>
      <w:sz w:val="22"/>
      <w14:ligatures w14:val="none"/>
    </w:rPr>
  </w:style>
  <w:style w:type="paragraph" w:customStyle="1" w:styleId="Focus-orange">
    <w:name w:val="Focus - orange"/>
    <w:basedOn w:val="Normal"/>
    <w:next w:val="Normal"/>
    <w:uiPriority w:val="7"/>
    <w:qFormat/>
    <w:rsid w:val="00EE4CE2"/>
    <w:pPr>
      <w:pBdr>
        <w:top w:val="single" w:sz="4" w:space="4" w:color="592B5E" w:themeColor="accent1"/>
        <w:left w:val="single" w:sz="4" w:space="4" w:color="592B5E" w:themeColor="accent1"/>
        <w:bottom w:val="single" w:sz="4" w:space="4" w:color="592B5E" w:themeColor="accent1"/>
        <w:right w:val="single" w:sz="4" w:space="6" w:color="592B5E" w:themeColor="accent1"/>
      </w:pBdr>
      <w:shd w:val="clear" w:color="auto" w:fill="FDF7DB"/>
    </w:pPr>
  </w:style>
  <w:style w:type="character" w:customStyle="1" w:styleId="Heading1Char">
    <w:name w:val="Heading 1 Char"/>
    <w:basedOn w:val="DefaultParagraphFont"/>
    <w:link w:val="Heading1"/>
    <w:uiPriority w:val="9"/>
    <w:rsid w:val="00FC7999"/>
    <w:rPr>
      <w:rFonts w:ascii="Arial" w:eastAsia="Times New Roman" w:hAnsi="Arial" w:cs="Times New Roman"/>
      <w:b/>
      <w:bCs/>
      <w:color w:val="592B5E"/>
      <w:spacing w:val="3"/>
      <w:kern w:val="0"/>
      <w:sz w:val="52"/>
      <w:szCs w:val="28"/>
      <w14:ligatures w14:val="none"/>
    </w:rPr>
  </w:style>
  <w:style w:type="paragraph" w:styleId="Title">
    <w:name w:val="Title"/>
    <w:basedOn w:val="Normal"/>
    <w:next w:val="Normal"/>
    <w:link w:val="TitleChar"/>
    <w:uiPriority w:val="10"/>
    <w:qFormat/>
    <w:rsid w:val="00EE4CE2"/>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E4CE2"/>
    <w:rPr>
      <w:rFonts w:ascii="Arial" w:eastAsiaTheme="majorEastAsia" w:hAnsi="Arial" w:cstheme="majorBidi"/>
      <w:spacing w:val="-10"/>
      <w:kern w:val="28"/>
      <w:sz w:val="56"/>
      <w:szCs w:val="56"/>
      <w14:ligatures w14:val="none"/>
    </w:rPr>
  </w:style>
  <w:style w:type="character" w:styleId="SubtleEmphasis">
    <w:name w:val="Subtle Emphasis"/>
    <w:basedOn w:val="DefaultParagraphFont"/>
    <w:uiPriority w:val="19"/>
    <w:qFormat/>
    <w:rsid w:val="00EE4CE2"/>
    <w:rPr>
      <w:rFonts w:ascii="Arial" w:hAnsi="Arial"/>
      <w:i/>
      <w:iCs/>
      <w:color w:val="404040" w:themeColor="text1" w:themeTint="BF"/>
    </w:rPr>
  </w:style>
  <w:style w:type="character" w:styleId="Emphasis">
    <w:name w:val="Emphasis"/>
    <w:basedOn w:val="DefaultParagraphFont"/>
    <w:uiPriority w:val="20"/>
    <w:qFormat/>
    <w:rsid w:val="00EE4CE2"/>
    <w:rPr>
      <w:rFonts w:ascii="Arial" w:hAnsi="Arial"/>
      <w:i/>
      <w:iCs/>
    </w:rPr>
  </w:style>
  <w:style w:type="character" w:styleId="IntenseEmphasis">
    <w:name w:val="Intense Emphasis"/>
    <w:basedOn w:val="DefaultParagraphFont"/>
    <w:uiPriority w:val="21"/>
    <w:qFormat/>
    <w:rsid w:val="00EE4CE2"/>
    <w:rPr>
      <w:rFonts w:ascii="Arial" w:hAnsi="Arial"/>
      <w:i/>
      <w:iCs/>
      <w:color w:val="422046" w:themeColor="accent1" w:themeShade="BF"/>
    </w:rPr>
  </w:style>
  <w:style w:type="character" w:styleId="Strong">
    <w:name w:val="Strong"/>
    <w:basedOn w:val="DefaultParagraphFont"/>
    <w:uiPriority w:val="22"/>
    <w:qFormat/>
    <w:rsid w:val="00EE4CE2"/>
    <w:rPr>
      <w:rFonts w:ascii="Arial" w:hAnsi="Arial"/>
      <w:b/>
      <w:bCs/>
    </w:rPr>
  </w:style>
  <w:style w:type="paragraph" w:styleId="Quote">
    <w:name w:val="Quote"/>
    <w:basedOn w:val="Normal"/>
    <w:next w:val="Normal"/>
    <w:link w:val="QuoteChar"/>
    <w:uiPriority w:val="29"/>
    <w:qFormat/>
    <w:rsid w:val="00EE4CE2"/>
    <w:pPr>
      <w:spacing w:before="160"/>
      <w:jc w:val="center"/>
    </w:pPr>
    <w:rPr>
      <w:rFonts w:asciiTheme="minorHAnsi" w:hAnsiTheme="minorHAnsi"/>
      <w:i/>
      <w:iCs/>
      <w:color w:val="404040" w:themeColor="text1" w:themeTint="BF"/>
      <w:spacing w:val="0"/>
      <w:kern w:val="2"/>
      <w:sz w:val="24"/>
      <w14:ligatures w14:val="standardContextual"/>
    </w:rPr>
  </w:style>
  <w:style w:type="character" w:customStyle="1" w:styleId="QuoteChar">
    <w:name w:val="Quote Char"/>
    <w:basedOn w:val="DefaultParagraphFont"/>
    <w:link w:val="Quote"/>
    <w:uiPriority w:val="29"/>
    <w:rsid w:val="00EE4CE2"/>
    <w:rPr>
      <w:i/>
      <w:iCs/>
      <w:color w:val="404040" w:themeColor="text1" w:themeTint="BF"/>
    </w:rPr>
  </w:style>
  <w:style w:type="paragraph" w:styleId="IntenseQuote">
    <w:name w:val="Intense Quote"/>
    <w:basedOn w:val="Normal"/>
    <w:next w:val="Normal"/>
    <w:link w:val="IntenseQuoteChar"/>
    <w:uiPriority w:val="30"/>
    <w:qFormat/>
    <w:rsid w:val="00EE4CE2"/>
    <w:pPr>
      <w:pBdr>
        <w:top w:val="single" w:sz="4" w:space="10" w:color="422046" w:themeColor="accent1" w:themeShade="BF"/>
        <w:bottom w:val="single" w:sz="4" w:space="10" w:color="422046" w:themeColor="accent1" w:themeShade="BF"/>
      </w:pBdr>
      <w:spacing w:before="360" w:after="360"/>
      <w:ind w:left="864" w:right="864"/>
      <w:jc w:val="center"/>
    </w:pPr>
    <w:rPr>
      <w:rFonts w:asciiTheme="minorHAnsi" w:hAnsiTheme="minorHAnsi"/>
      <w:i/>
      <w:iCs/>
      <w:color w:val="422046" w:themeColor="accent1" w:themeShade="BF"/>
      <w:spacing w:val="0"/>
      <w:kern w:val="2"/>
      <w:sz w:val="24"/>
      <w14:ligatures w14:val="standardContextual"/>
    </w:rPr>
  </w:style>
  <w:style w:type="character" w:customStyle="1" w:styleId="IntenseQuoteChar">
    <w:name w:val="Intense Quote Char"/>
    <w:basedOn w:val="DefaultParagraphFont"/>
    <w:link w:val="IntenseQuote"/>
    <w:uiPriority w:val="30"/>
    <w:rsid w:val="00EE4CE2"/>
    <w:rPr>
      <w:i/>
      <w:iCs/>
      <w:color w:val="422046" w:themeColor="accent1" w:themeShade="BF"/>
    </w:rPr>
  </w:style>
  <w:style w:type="character" w:styleId="SubtleReference">
    <w:name w:val="Subtle Reference"/>
    <w:basedOn w:val="DefaultParagraphFont"/>
    <w:uiPriority w:val="31"/>
    <w:qFormat/>
    <w:rsid w:val="00EE4CE2"/>
    <w:rPr>
      <w:rFonts w:ascii="Arial" w:hAnsi="Arial"/>
      <w:smallCaps/>
      <w:color w:val="5A5A5A" w:themeColor="text1" w:themeTint="A5"/>
    </w:rPr>
  </w:style>
  <w:style w:type="character" w:styleId="IntenseReference">
    <w:name w:val="Intense Reference"/>
    <w:basedOn w:val="DefaultParagraphFont"/>
    <w:uiPriority w:val="32"/>
    <w:qFormat/>
    <w:rsid w:val="00EE4CE2"/>
    <w:rPr>
      <w:rFonts w:ascii="Arial" w:hAnsi="Arial"/>
      <w:b/>
      <w:bCs/>
      <w:smallCaps/>
      <w:color w:val="422046" w:themeColor="accent1" w:themeShade="BF"/>
      <w:spacing w:val="5"/>
    </w:rPr>
  </w:style>
  <w:style w:type="character" w:styleId="BookTitle">
    <w:name w:val="Book Title"/>
    <w:basedOn w:val="DefaultParagraphFont"/>
    <w:uiPriority w:val="33"/>
    <w:qFormat/>
    <w:rsid w:val="00EE4CE2"/>
    <w:rPr>
      <w:rFonts w:ascii="Arial" w:hAnsi="Arial"/>
      <w:b/>
      <w:bCs/>
      <w:i/>
      <w:iCs/>
      <w:spacing w:val="5"/>
    </w:rPr>
  </w:style>
  <w:style w:type="paragraph" w:styleId="ListParagraph">
    <w:name w:val="List Paragraph"/>
    <w:basedOn w:val="BulletParagraph1"/>
    <w:uiPriority w:val="34"/>
    <w:qFormat/>
    <w:rsid w:val="0059566D"/>
    <w:pPr>
      <w:ind w:left="567" w:hanging="283"/>
    </w:pPr>
  </w:style>
  <w:style w:type="paragraph" w:styleId="ListNumber">
    <w:name w:val="List Number"/>
    <w:basedOn w:val="NumberParagraph1"/>
    <w:uiPriority w:val="99"/>
    <w:unhideWhenUsed/>
    <w:qFormat/>
    <w:rsid w:val="003F3588"/>
    <w:pPr>
      <w:numPr>
        <w:numId w:val="13"/>
      </w:numPr>
      <w:ind w:left="568" w:hanging="284"/>
      <w:contextualSpacing/>
    </w:pPr>
    <w:rPr>
      <w:rFonts w:eastAsia="Aptos"/>
    </w:rPr>
  </w:style>
  <w:style w:type="character" w:styleId="Hyperlink">
    <w:name w:val="Hyperlink"/>
    <w:uiPriority w:val="99"/>
    <w:rsid w:val="00481149"/>
    <w:rPr>
      <w:rFonts w:ascii="Arial" w:hAnsi="Arial"/>
      <w:b w:val="0"/>
      <w:color w:val="0070C0"/>
      <w:u w:val="single"/>
    </w:rPr>
  </w:style>
  <w:style w:type="character" w:customStyle="1" w:styleId="Heading2Char">
    <w:name w:val="Heading 2 Char"/>
    <w:basedOn w:val="DefaultParagraphFont"/>
    <w:link w:val="Heading2"/>
    <w:uiPriority w:val="9"/>
    <w:rsid w:val="00FC7999"/>
    <w:rPr>
      <w:rFonts w:ascii="Arial" w:eastAsia="Times New Roman" w:hAnsi="Arial" w:cs="Times New Roman"/>
      <w:color w:val="422046"/>
      <w:spacing w:val="3"/>
      <w:kern w:val="0"/>
      <w:sz w:val="28"/>
      <w:szCs w:val="32"/>
      <w14:ligatures w14:val="none"/>
    </w:rPr>
  </w:style>
  <w:style w:type="character" w:customStyle="1" w:styleId="Heading3Char">
    <w:name w:val="Heading 3 Char"/>
    <w:basedOn w:val="DefaultParagraphFont"/>
    <w:link w:val="Heading3"/>
    <w:uiPriority w:val="9"/>
    <w:rsid w:val="00F17309"/>
    <w:rPr>
      <w:rFonts w:ascii="Arial" w:eastAsia="Times New Roman" w:hAnsi="Arial" w:cs="Times New Roman"/>
      <w:color w:val="422046"/>
      <w:spacing w:val="3"/>
      <w:kern w:val="0"/>
      <w:szCs w:val="28"/>
      <w14:ligatures w14:val="none"/>
    </w:rPr>
  </w:style>
  <w:style w:type="character" w:customStyle="1" w:styleId="Heading5Char">
    <w:name w:val="Heading 5 Char"/>
    <w:basedOn w:val="DefaultParagraphFont"/>
    <w:link w:val="Heading5"/>
    <w:uiPriority w:val="9"/>
    <w:rsid w:val="00F17309"/>
    <w:rPr>
      <w:rFonts w:ascii="Arial" w:eastAsia="Times New Roman" w:hAnsi="Arial" w:cs="Times New Roman"/>
      <w:i/>
      <w:iCs/>
      <w:color w:val="422046"/>
      <w:spacing w:val="3"/>
      <w:kern w:val="0"/>
      <w:sz w:val="20"/>
      <w14:ligatures w14:val="none"/>
    </w:rPr>
  </w:style>
  <w:style w:type="numbering" w:customStyle="1" w:styleId="NumberedList">
    <w:name w:val="Numbered List"/>
    <w:uiPriority w:val="99"/>
    <w:rsid w:val="001E1CE2"/>
    <w:pPr>
      <w:numPr>
        <w:numId w:val="6"/>
      </w:numPr>
    </w:pPr>
  </w:style>
  <w:style w:type="numbering" w:customStyle="1" w:styleId="NumberList">
    <w:name w:val="Number List"/>
    <w:uiPriority w:val="99"/>
    <w:rsid w:val="00981D60"/>
    <w:pPr>
      <w:numPr>
        <w:numId w:val="7"/>
      </w:numPr>
    </w:pPr>
  </w:style>
  <w:style w:type="paragraph" w:customStyle="1" w:styleId="Number">
    <w:name w:val="Number"/>
    <w:basedOn w:val="ListParagraph"/>
    <w:qFormat/>
    <w:rsid w:val="00981D60"/>
    <w:pPr>
      <w:tabs>
        <w:tab w:val="num" w:pos="340"/>
      </w:tabs>
      <w:spacing w:after="60"/>
      <w:contextualSpacing w:val="0"/>
    </w:pPr>
  </w:style>
  <w:style w:type="paragraph" w:customStyle="1" w:styleId="NumberParagraph">
    <w:name w:val="Number Paragraph"/>
    <w:basedOn w:val="ListParagraph"/>
    <w:qFormat/>
    <w:rsid w:val="00007AFA"/>
    <w:pPr>
      <w:numPr>
        <w:numId w:val="12"/>
      </w:numPr>
      <w:ind w:left="568" w:hanging="284"/>
    </w:pPr>
  </w:style>
  <w:style w:type="paragraph" w:customStyle="1" w:styleId="NumberParagraph1">
    <w:name w:val="Number Paragraph 1"/>
    <w:rsid w:val="00981D60"/>
    <w:pPr>
      <w:ind w:left="568" w:hanging="284"/>
    </w:pPr>
    <w:rPr>
      <w:rFonts w:ascii="Arial" w:eastAsia="Times New Roman" w:hAnsi="Arial" w:cs="Times New Roman"/>
      <w:spacing w:val="3"/>
      <w:kern w:val="0"/>
      <w:sz w:val="20"/>
      <w:szCs w:val="20"/>
      <w14:ligatures w14:val="none"/>
    </w:rPr>
  </w:style>
  <w:style w:type="paragraph" w:customStyle="1" w:styleId="NumberParagraph2">
    <w:name w:val="Number Paragraph 2"/>
    <w:rsid w:val="00390FAF"/>
    <w:pPr>
      <w:numPr>
        <w:ilvl w:val="1"/>
        <w:numId w:val="12"/>
      </w:numPr>
      <w:spacing w:after="100" w:afterAutospacing="1" w:line="288" w:lineRule="auto"/>
      <w:contextualSpacing/>
    </w:pPr>
    <w:rPr>
      <w:rFonts w:ascii="Arial" w:eastAsia="Times New Roman" w:hAnsi="Arial" w:cs="Times New Roman"/>
      <w:spacing w:val="3"/>
      <w:kern w:val="0"/>
      <w:sz w:val="20"/>
      <w:szCs w:val="20"/>
      <w14:ligatures w14:val="none"/>
    </w:rPr>
  </w:style>
  <w:style w:type="paragraph" w:customStyle="1" w:styleId="NumberParagraph3">
    <w:name w:val="Number Paragraph 3"/>
    <w:rsid w:val="00390FAF"/>
    <w:pPr>
      <w:numPr>
        <w:ilvl w:val="2"/>
        <w:numId w:val="12"/>
      </w:numPr>
      <w:spacing w:after="100" w:afterAutospacing="1" w:line="288" w:lineRule="auto"/>
      <w:ind w:left="1135" w:hanging="284"/>
      <w:contextualSpacing/>
    </w:pPr>
    <w:rPr>
      <w:rFonts w:ascii="Arial" w:eastAsia="Times New Roman" w:hAnsi="Arial" w:cs="Times New Roman"/>
      <w:spacing w:val="3"/>
      <w:kern w:val="0"/>
      <w:sz w:val="20"/>
      <w:szCs w:val="20"/>
      <w14:ligatures w14:val="none"/>
    </w:rPr>
  </w:style>
  <w:style w:type="paragraph" w:customStyle="1" w:styleId="NumberParagraph4">
    <w:name w:val="Number Paragraph 4"/>
    <w:rsid w:val="00A00EEF"/>
    <w:pPr>
      <w:numPr>
        <w:ilvl w:val="3"/>
        <w:numId w:val="12"/>
      </w:numPr>
      <w:spacing w:after="100" w:afterAutospacing="1" w:line="288" w:lineRule="auto"/>
      <w:ind w:left="1418" w:hanging="284"/>
      <w:contextualSpacing/>
    </w:pPr>
    <w:rPr>
      <w:rFonts w:ascii="Arial" w:eastAsia="Times New Roman" w:hAnsi="Arial" w:cs="Times New Roman"/>
      <w:spacing w:val="3"/>
      <w:kern w:val="0"/>
      <w:sz w:val="20"/>
      <w:szCs w:val="20"/>
      <w14:ligatures w14:val="none"/>
    </w:rPr>
  </w:style>
  <w:style w:type="numbering" w:customStyle="1" w:styleId="MultiList">
    <w:name w:val="Multi List"/>
    <w:uiPriority w:val="99"/>
    <w:rsid w:val="00981D60"/>
    <w:pPr>
      <w:numPr>
        <w:numId w:val="12"/>
      </w:numPr>
    </w:pPr>
  </w:style>
  <w:style w:type="character" w:customStyle="1" w:styleId="Heading4Char">
    <w:name w:val="Heading 4 Char"/>
    <w:basedOn w:val="DefaultParagraphFont"/>
    <w:link w:val="Heading4"/>
    <w:uiPriority w:val="9"/>
    <w:rsid w:val="00F17309"/>
    <w:rPr>
      <w:rFonts w:ascii="Arial" w:eastAsia="Times New Roman" w:hAnsi="Arial" w:cs="Times New Roman"/>
      <w:b/>
      <w:bCs/>
      <w:i/>
      <w:iCs/>
      <w:color w:val="422046"/>
      <w:spacing w:val="3"/>
      <w:kern w:val="0"/>
      <w:sz w:val="20"/>
      <w14:ligatures w14:val="none"/>
    </w:rPr>
  </w:style>
  <w:style w:type="character" w:customStyle="1" w:styleId="Heading6Char">
    <w:name w:val="Heading 6 Char"/>
    <w:basedOn w:val="DefaultParagraphFont"/>
    <w:link w:val="Heading6"/>
    <w:uiPriority w:val="9"/>
    <w:semiHidden/>
    <w:rsid w:val="00F46F14"/>
    <w:rPr>
      <w:rFonts w:eastAsiaTheme="majorEastAsia" w:cstheme="majorBidi"/>
      <w:i/>
      <w:iCs/>
      <w:color w:val="595959" w:themeColor="text1" w:themeTint="A6"/>
      <w:spacing w:val="3"/>
      <w:kern w:val="0"/>
      <w:sz w:val="20"/>
      <w14:ligatures w14:val="none"/>
    </w:rPr>
  </w:style>
  <w:style w:type="character" w:customStyle="1" w:styleId="Heading7Char">
    <w:name w:val="Heading 7 Char"/>
    <w:basedOn w:val="DefaultParagraphFont"/>
    <w:link w:val="Heading7"/>
    <w:uiPriority w:val="9"/>
    <w:semiHidden/>
    <w:rsid w:val="00F46F14"/>
    <w:rPr>
      <w:rFonts w:eastAsiaTheme="majorEastAsia" w:cstheme="majorBidi"/>
      <w:color w:val="595959" w:themeColor="text1" w:themeTint="A6"/>
      <w:spacing w:val="3"/>
      <w:kern w:val="0"/>
      <w:sz w:val="20"/>
      <w14:ligatures w14:val="none"/>
    </w:rPr>
  </w:style>
  <w:style w:type="character" w:customStyle="1" w:styleId="Heading8Char">
    <w:name w:val="Heading 8 Char"/>
    <w:basedOn w:val="DefaultParagraphFont"/>
    <w:link w:val="Heading8"/>
    <w:uiPriority w:val="9"/>
    <w:semiHidden/>
    <w:rsid w:val="00F46F14"/>
    <w:rPr>
      <w:rFonts w:eastAsiaTheme="majorEastAsia" w:cstheme="majorBidi"/>
      <w:i/>
      <w:iCs/>
      <w:color w:val="272727" w:themeColor="text1" w:themeTint="D8"/>
      <w:spacing w:val="3"/>
      <w:kern w:val="0"/>
      <w:sz w:val="20"/>
      <w14:ligatures w14:val="none"/>
    </w:rPr>
  </w:style>
  <w:style w:type="character" w:customStyle="1" w:styleId="Heading9Char">
    <w:name w:val="Heading 9 Char"/>
    <w:basedOn w:val="DefaultParagraphFont"/>
    <w:link w:val="Heading9"/>
    <w:uiPriority w:val="9"/>
    <w:semiHidden/>
    <w:rsid w:val="00F46F14"/>
    <w:rPr>
      <w:rFonts w:eastAsiaTheme="majorEastAsia" w:cstheme="majorBidi"/>
      <w:color w:val="272727" w:themeColor="text1" w:themeTint="D8"/>
      <w:spacing w:val="3"/>
      <w:kern w:val="0"/>
      <w:sz w:val="20"/>
      <w14:ligatures w14:val="none"/>
    </w:rPr>
  </w:style>
  <w:style w:type="paragraph" w:styleId="Subtitle">
    <w:name w:val="Subtitle"/>
    <w:basedOn w:val="Normal"/>
    <w:next w:val="Normal"/>
    <w:link w:val="SubtitleChar"/>
    <w:uiPriority w:val="11"/>
    <w:qFormat/>
    <w:rsid w:val="00FC7999"/>
    <w:pPr>
      <w:numPr>
        <w:ilvl w:val="1"/>
      </w:numPr>
    </w:pPr>
    <w:rPr>
      <w:rFonts w:eastAsia="Times New Roman" w:cs="Times New Roman"/>
      <w:color w:val="116765"/>
      <w:spacing w:val="15"/>
      <w:sz w:val="28"/>
      <w:szCs w:val="28"/>
    </w:rPr>
  </w:style>
  <w:style w:type="character" w:customStyle="1" w:styleId="SubtitleChar">
    <w:name w:val="Subtitle Char"/>
    <w:basedOn w:val="DefaultParagraphFont"/>
    <w:link w:val="Subtitle"/>
    <w:uiPriority w:val="11"/>
    <w:rsid w:val="00FC7999"/>
    <w:rPr>
      <w:rFonts w:ascii="Arial" w:eastAsia="Times New Roman" w:hAnsi="Arial" w:cs="Times New Roman"/>
      <w:color w:val="116765"/>
      <w:spacing w:val="15"/>
      <w:kern w:val="0"/>
      <w:sz w:val="28"/>
      <w:szCs w:val="28"/>
      <w14:ligatures w14:val="none"/>
    </w:rPr>
  </w:style>
  <w:style w:type="table" w:customStyle="1" w:styleId="DSSDatatablestyle">
    <w:name w:val="DSS Data table style"/>
    <w:basedOn w:val="TableNormal"/>
    <w:uiPriority w:val="99"/>
    <w:rsid w:val="00F46F14"/>
    <w:pPr>
      <w:spacing w:after="0" w:line="240" w:lineRule="auto"/>
    </w:pPr>
    <w:rPr>
      <w:kern w:val="0"/>
      <w:sz w:val="22"/>
      <w14:ligatures w14:val="none"/>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Aptos" w:hAnsi="Aptos"/>
        <w:b/>
        <w:i w:val="0"/>
        <w:color w:val="FFFFFF"/>
        <w:sz w:val="22"/>
        <w:u w:val="none"/>
      </w:rPr>
      <w:tblPr/>
      <w:tcPr>
        <w:shd w:val="clear" w:color="auto" w:fill="592B5E"/>
      </w:tcPr>
    </w:tblStylePr>
    <w:tblStylePr w:type="lastRow">
      <w:pPr>
        <w:jc w:val="left"/>
      </w:pPr>
      <w:rPr>
        <w:rFonts w:ascii="Aptos" w:hAnsi="Aptos"/>
        <w:b/>
        <w:sz w:val="22"/>
        <w:u w:val="none"/>
      </w:rPr>
      <w:tblPr/>
      <w:tcPr>
        <w:tcBorders>
          <w:top w:val="single" w:sz="4" w:space="0" w:color="116765"/>
        </w:tcBorders>
        <w:shd w:val="clear" w:color="auto" w:fill="FFFFFF"/>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CEE3AD"/>
      </w:tcPr>
    </w:tblStylePr>
    <w:tblStylePr w:type="band1Horz">
      <w:pPr>
        <w:jc w:val="left"/>
      </w:pPr>
    </w:tblStylePr>
    <w:tblStylePr w:type="band2Horz">
      <w:pPr>
        <w:jc w:val="left"/>
      </w:pPr>
      <w:rPr>
        <w:rFonts w:ascii="Aptos" w:hAnsi="Aptos"/>
        <w:sz w:val="22"/>
      </w:rPr>
      <w:tblPr/>
      <w:tcPr>
        <w:shd w:val="clear" w:color="auto" w:fill="F2F2F2"/>
      </w:tcPr>
    </w:tblStylePr>
  </w:style>
  <w:style w:type="paragraph" w:customStyle="1" w:styleId="Bulletparagraph4">
    <w:name w:val="Bullet paragraph 4"/>
    <w:qFormat/>
    <w:rsid w:val="007F280C"/>
    <w:pPr>
      <w:numPr>
        <w:ilvl w:val="3"/>
        <w:numId w:val="23"/>
      </w:numPr>
      <w:spacing w:after="100" w:afterAutospacing="1" w:line="288" w:lineRule="auto"/>
      <w:contextualSpacing/>
    </w:pPr>
    <w:rPr>
      <w:rFonts w:ascii="Arial" w:hAnsi="Arial"/>
      <w:spacing w:val="3"/>
      <w:kern w:val="0"/>
      <w:sz w:val="20"/>
      <w14:ligatures w14:val="none"/>
    </w:rPr>
  </w:style>
  <w:style w:type="numbering" w:customStyle="1" w:styleId="Bullet">
    <w:name w:val="Bullet"/>
    <w:uiPriority w:val="99"/>
    <w:rsid w:val="00F46F14"/>
    <w:pPr>
      <w:numPr>
        <w:numId w:val="22"/>
      </w:numPr>
    </w:pPr>
  </w:style>
  <w:style w:type="paragraph" w:customStyle="1" w:styleId="BulletParagraph3">
    <w:name w:val="Bullet Paragraph 3"/>
    <w:qFormat/>
    <w:rsid w:val="007F280C"/>
    <w:pPr>
      <w:numPr>
        <w:ilvl w:val="2"/>
        <w:numId w:val="23"/>
      </w:numPr>
      <w:spacing w:after="100" w:afterAutospacing="1" w:line="288" w:lineRule="auto"/>
      <w:ind w:left="1135" w:hanging="284"/>
      <w:contextualSpacing/>
    </w:pPr>
    <w:rPr>
      <w:rFonts w:ascii="Arial" w:hAnsi="Arial"/>
      <w:spacing w:val="3"/>
      <w:kern w:val="0"/>
      <w:sz w:val="20"/>
      <w14:ligatures w14:val="none"/>
    </w:rPr>
  </w:style>
  <w:style w:type="paragraph" w:customStyle="1" w:styleId="BulletParagraph2">
    <w:name w:val="Bullet Paragraph 2"/>
    <w:qFormat/>
    <w:rsid w:val="007F280C"/>
    <w:pPr>
      <w:numPr>
        <w:ilvl w:val="1"/>
        <w:numId w:val="23"/>
      </w:numPr>
      <w:spacing w:after="100" w:afterAutospacing="1" w:line="288" w:lineRule="auto"/>
      <w:contextualSpacing/>
    </w:pPr>
    <w:rPr>
      <w:rFonts w:ascii="Arial" w:hAnsi="Arial"/>
      <w:spacing w:val="3"/>
      <w:kern w:val="0"/>
      <w:sz w:val="20"/>
      <w14:ligatures w14:val="none"/>
    </w:rPr>
  </w:style>
  <w:style w:type="paragraph" w:customStyle="1" w:styleId="BulletParagraph1">
    <w:name w:val="Bullet Paragraph 1"/>
    <w:qFormat/>
    <w:rsid w:val="007F280C"/>
    <w:pPr>
      <w:numPr>
        <w:numId w:val="23"/>
      </w:numPr>
      <w:spacing w:after="100" w:afterAutospacing="1" w:line="288" w:lineRule="auto"/>
      <w:ind w:left="568" w:hanging="284"/>
      <w:contextualSpacing/>
    </w:pPr>
    <w:rPr>
      <w:rFonts w:ascii="Arial" w:hAnsi="Arial"/>
      <w:spacing w:val="3"/>
      <w:kern w:val="0"/>
      <w:sz w:val="20"/>
      <w14:ligatures w14:val="none"/>
    </w:rPr>
  </w:style>
  <w:style w:type="paragraph" w:customStyle="1" w:styleId="BlockQuote">
    <w:name w:val="Block Quote"/>
    <w:basedOn w:val="Normal"/>
    <w:rsid w:val="0055379A"/>
    <w:pPr>
      <w:pBdr>
        <w:left w:val="single" w:sz="18" w:space="16" w:color="FAB545"/>
      </w:pBdr>
      <w:shd w:val="clear" w:color="auto" w:fill="FFFFFF"/>
      <w:spacing w:before="280" w:after="280"/>
      <w:ind w:left="601"/>
    </w:pPr>
    <w:rPr>
      <w:rFonts w:eastAsia="Times New Roman" w:cs="Times New Roman"/>
      <w:color w:val="422046"/>
      <w:szCs w:val="20"/>
    </w:rPr>
  </w:style>
  <w:style w:type="paragraph" w:customStyle="1" w:styleId="TableNote">
    <w:name w:val="Table Note"/>
    <w:basedOn w:val="Normal"/>
    <w:qFormat/>
    <w:rsid w:val="00885193"/>
    <w:pPr>
      <w:spacing w:before="120"/>
      <w:contextualSpacing/>
    </w:pPr>
    <w:rPr>
      <w:rFonts w:eastAsia="Aptos" w:cs="Times New Roman"/>
      <w:b/>
      <w:color w:val="595959"/>
    </w:rPr>
  </w:style>
  <w:style w:type="paragraph" w:customStyle="1" w:styleId="NoSpacing1">
    <w:name w:val="No Spacing1"/>
    <w:basedOn w:val="Normal"/>
    <w:qFormat/>
    <w:rsid w:val="00C72C88"/>
    <w:pPr>
      <w:spacing w:after="0" w:line="240" w:lineRule="auto"/>
    </w:pPr>
    <w:rPr>
      <w:rFonts w:eastAsia="Aptos" w:cs="Times New Roman"/>
    </w:rPr>
  </w:style>
  <w:style w:type="paragraph" w:customStyle="1" w:styleId="HeaderSpace">
    <w:name w:val="Header Space"/>
    <w:basedOn w:val="Normal"/>
    <w:qFormat/>
    <w:rsid w:val="00423754"/>
    <w:pPr>
      <w:spacing w:after="2040"/>
    </w:pPr>
    <w:rPr>
      <w:rFonts w:eastAsia="Aptos" w:cs="Times New Roman"/>
      <w:noProof/>
    </w:rPr>
  </w:style>
  <w:style w:type="paragraph" w:customStyle="1" w:styleId="TableHeading">
    <w:name w:val="Table Heading"/>
    <w:basedOn w:val="Normal"/>
    <w:qFormat/>
    <w:rsid w:val="00423754"/>
    <w:pPr>
      <w:spacing w:before="360"/>
    </w:pPr>
    <w:rPr>
      <w:rFonts w:eastAsia="Aptos" w:cs="Times New Roman"/>
      <w:b/>
      <w:bCs/>
      <w:sz w:val="22"/>
      <w:szCs w:val="18"/>
    </w:rPr>
  </w:style>
  <w:style w:type="paragraph" w:customStyle="1" w:styleId="TableHeaderRow">
    <w:name w:val="Table Header Row"/>
    <w:basedOn w:val="Normal"/>
    <w:qFormat/>
    <w:rsid w:val="00C05039"/>
    <w:pPr>
      <w:spacing w:after="0" w:line="240" w:lineRule="auto"/>
    </w:pPr>
    <w:rPr>
      <w:rFonts w:eastAsia="Aptos" w:cs="Times New Roman"/>
      <w:b/>
      <w:color w:val="FFFFFF"/>
    </w:rPr>
  </w:style>
  <w:style w:type="paragraph" w:customStyle="1" w:styleId="NoSpacingBold">
    <w:name w:val="No Spacing Bold"/>
    <w:basedOn w:val="Normal"/>
    <w:qFormat/>
    <w:rsid w:val="00026176"/>
    <w:pPr>
      <w:spacing w:after="0" w:line="240" w:lineRule="auto"/>
    </w:pPr>
    <w:rPr>
      <w:rFonts w:eastAsia="Aptos" w:cs="Times New Roman"/>
      <w:b/>
    </w:rPr>
  </w:style>
  <w:style w:type="paragraph" w:styleId="Header">
    <w:name w:val="header"/>
    <w:basedOn w:val="Normal"/>
    <w:link w:val="HeaderChar"/>
    <w:uiPriority w:val="99"/>
    <w:semiHidden/>
    <w:unhideWhenUsed/>
    <w:rsid w:val="007C28A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C28AD"/>
    <w:rPr>
      <w:rFonts w:ascii="Arial" w:hAnsi="Arial"/>
      <w:spacing w:val="3"/>
      <w:kern w:val="0"/>
      <w:sz w:val="20"/>
      <w14:ligatures w14:val="none"/>
    </w:rPr>
  </w:style>
  <w:style w:type="paragraph" w:styleId="Footer">
    <w:name w:val="footer"/>
    <w:basedOn w:val="Normal"/>
    <w:link w:val="FooterChar"/>
    <w:uiPriority w:val="99"/>
    <w:semiHidden/>
    <w:unhideWhenUsed/>
    <w:rsid w:val="007C28A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C28AD"/>
    <w:rPr>
      <w:rFonts w:ascii="Arial" w:hAnsi="Arial"/>
      <w:spacing w:val="3"/>
      <w:kern w:val="0"/>
      <w:sz w:val="20"/>
      <w14:ligatures w14:val="none"/>
    </w:rPr>
  </w:style>
  <w:style w:type="paragraph" w:styleId="FootnoteText">
    <w:name w:val="footnote text"/>
    <w:basedOn w:val="Normal"/>
    <w:link w:val="FootnoteTextChar"/>
    <w:uiPriority w:val="99"/>
    <w:semiHidden/>
    <w:unhideWhenUsed/>
    <w:rsid w:val="00332CAF"/>
    <w:pPr>
      <w:spacing w:after="0" w:line="240" w:lineRule="auto"/>
    </w:pPr>
    <w:rPr>
      <w:szCs w:val="20"/>
    </w:rPr>
  </w:style>
  <w:style w:type="character" w:customStyle="1" w:styleId="FootnoteTextChar">
    <w:name w:val="Footnote Text Char"/>
    <w:basedOn w:val="DefaultParagraphFont"/>
    <w:link w:val="FootnoteText"/>
    <w:uiPriority w:val="99"/>
    <w:semiHidden/>
    <w:rsid w:val="00332CAF"/>
    <w:rPr>
      <w:rFonts w:ascii="Arial" w:hAnsi="Arial"/>
      <w:spacing w:val="3"/>
      <w:kern w:val="0"/>
      <w:sz w:val="20"/>
      <w:szCs w:val="20"/>
      <w14:ligatures w14:val="none"/>
    </w:rPr>
  </w:style>
  <w:style w:type="character" w:styleId="FootnoteReference">
    <w:name w:val="footnote reference"/>
    <w:basedOn w:val="DefaultParagraphFont"/>
    <w:uiPriority w:val="99"/>
    <w:semiHidden/>
    <w:unhideWhenUsed/>
    <w:rsid w:val="00332CAF"/>
    <w:rPr>
      <w:vertAlign w:val="superscript"/>
    </w:rPr>
  </w:style>
  <w:style w:type="paragraph" w:styleId="EndnoteText">
    <w:name w:val="endnote text"/>
    <w:basedOn w:val="Normal"/>
    <w:link w:val="EndnoteTextChar"/>
    <w:uiPriority w:val="99"/>
    <w:unhideWhenUsed/>
    <w:qFormat/>
    <w:rsid w:val="00332CAF"/>
    <w:pPr>
      <w:spacing w:after="0" w:line="240" w:lineRule="auto"/>
    </w:pPr>
    <w:rPr>
      <w:szCs w:val="20"/>
    </w:rPr>
  </w:style>
  <w:style w:type="character" w:customStyle="1" w:styleId="EndnoteTextChar">
    <w:name w:val="Endnote Text Char"/>
    <w:basedOn w:val="DefaultParagraphFont"/>
    <w:link w:val="EndnoteText"/>
    <w:uiPriority w:val="99"/>
    <w:rsid w:val="00332CAF"/>
    <w:rPr>
      <w:rFonts w:ascii="Arial" w:hAnsi="Arial"/>
      <w:spacing w:val="3"/>
      <w:kern w:val="0"/>
      <w:sz w:val="20"/>
      <w:szCs w:val="20"/>
      <w14:ligatures w14:val="none"/>
    </w:rPr>
  </w:style>
  <w:style w:type="character" w:styleId="EndnoteReference">
    <w:name w:val="endnote reference"/>
    <w:aliases w:val="QUOTE"/>
    <w:basedOn w:val="DefaultParagraphFont"/>
    <w:semiHidden/>
    <w:unhideWhenUsed/>
    <w:qFormat/>
    <w:rsid w:val="00332CAF"/>
    <w:rPr>
      <w:vertAlign w:val="superscript"/>
    </w:rPr>
  </w:style>
  <w:style w:type="paragraph" w:styleId="NormalWeb">
    <w:name w:val="Normal (Web)"/>
    <w:basedOn w:val="Normal"/>
    <w:uiPriority w:val="99"/>
    <w:semiHidden/>
    <w:unhideWhenUsed/>
    <w:rsid w:val="00174047"/>
    <w:rPr>
      <w:rFonts w:ascii="Times New Roman" w:hAnsi="Times New Roman" w:cs="Times New Roman"/>
      <w:sz w:val="24"/>
    </w:rPr>
  </w:style>
  <w:style w:type="character" w:styleId="UnresolvedMention">
    <w:name w:val="Unresolved Mention"/>
    <w:basedOn w:val="DefaultParagraphFont"/>
    <w:uiPriority w:val="99"/>
    <w:semiHidden/>
    <w:unhideWhenUsed/>
    <w:rsid w:val="00C4413E"/>
    <w:rPr>
      <w:color w:val="605E5C"/>
      <w:shd w:val="clear" w:color="auto" w:fill="E1DFDD"/>
    </w:rPr>
  </w:style>
  <w:style w:type="character" w:styleId="CommentReference">
    <w:name w:val="annotation reference"/>
    <w:basedOn w:val="DefaultParagraphFont"/>
    <w:uiPriority w:val="99"/>
    <w:semiHidden/>
    <w:unhideWhenUsed/>
    <w:rsid w:val="00B67901"/>
    <w:rPr>
      <w:sz w:val="16"/>
      <w:szCs w:val="16"/>
    </w:rPr>
  </w:style>
  <w:style w:type="paragraph" w:styleId="CommentText">
    <w:name w:val="annotation text"/>
    <w:basedOn w:val="Normal"/>
    <w:link w:val="CommentTextChar"/>
    <w:uiPriority w:val="99"/>
    <w:unhideWhenUsed/>
    <w:rsid w:val="00B67901"/>
    <w:pPr>
      <w:spacing w:line="240" w:lineRule="auto"/>
    </w:pPr>
    <w:rPr>
      <w:szCs w:val="20"/>
    </w:rPr>
  </w:style>
  <w:style w:type="character" w:customStyle="1" w:styleId="CommentTextChar">
    <w:name w:val="Comment Text Char"/>
    <w:basedOn w:val="DefaultParagraphFont"/>
    <w:link w:val="CommentText"/>
    <w:uiPriority w:val="99"/>
    <w:rsid w:val="00B67901"/>
    <w:rPr>
      <w:rFonts w:ascii="Arial" w:hAnsi="Arial"/>
      <w:spacing w:val="3"/>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901"/>
    <w:rPr>
      <w:b/>
      <w:bCs/>
    </w:rPr>
  </w:style>
  <w:style w:type="character" w:customStyle="1" w:styleId="CommentSubjectChar">
    <w:name w:val="Comment Subject Char"/>
    <w:basedOn w:val="CommentTextChar"/>
    <w:link w:val="CommentSubject"/>
    <w:uiPriority w:val="99"/>
    <w:semiHidden/>
    <w:rsid w:val="00B67901"/>
    <w:rPr>
      <w:rFonts w:ascii="Arial" w:hAnsi="Arial"/>
      <w:b/>
      <w:bCs/>
      <w:spacing w:val="3"/>
      <w:kern w:val="0"/>
      <w:sz w:val="20"/>
      <w:szCs w:val="20"/>
      <w14:ligatures w14:val="none"/>
    </w:rPr>
  </w:style>
  <w:style w:type="character" w:styleId="Mention">
    <w:name w:val="Mention"/>
    <w:basedOn w:val="DefaultParagraphFont"/>
    <w:uiPriority w:val="99"/>
    <w:unhideWhenUsed/>
    <w:rsid w:val="00B67901"/>
    <w:rPr>
      <w:color w:val="2B579A"/>
      <w:shd w:val="clear" w:color="auto" w:fill="E1DFDD"/>
    </w:rPr>
  </w:style>
  <w:style w:type="paragraph" w:styleId="Revision">
    <w:name w:val="Revision"/>
    <w:hidden/>
    <w:uiPriority w:val="99"/>
    <w:semiHidden/>
    <w:rsid w:val="00AB672B"/>
    <w:pPr>
      <w:spacing w:after="0" w:line="240" w:lineRule="auto"/>
    </w:pPr>
    <w:rPr>
      <w:rFonts w:ascii="Arial" w:hAnsi="Arial"/>
      <w:spacing w:val="3"/>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8" Type="http://schemas.openxmlformats.org/officeDocument/2006/relationships/hyperlink" Target="https://link.springer.com/book/10.1007/978-3-031-12224-8" TargetMode="External"/><Relationship Id="rId13" Type="http://schemas.openxmlformats.org/officeDocument/2006/relationships/hyperlink" Target="https://assets.pc.gov.au/inquiries/completed/closing-the-gap-review/report/closing-the-gap-review-report.pdf" TargetMode="External"/><Relationship Id="rId3" Type="http://schemas.openxmlformats.org/officeDocument/2006/relationships/hyperlink" Target="https://www.aihw.gov.au/reports/child-protection/child-protection-australia-2022-23" TargetMode="External"/><Relationship Id="rId7" Type="http://schemas.openxmlformats.org/officeDocument/2006/relationships/hyperlink" Target="https://www.aihw.gov.au/reports/child-protection/child-protection-australia-2023-24/data" TargetMode="External"/><Relationship Id="rId12" Type="http://schemas.openxmlformats.org/officeDocument/2006/relationships/hyperlink" Target="https://www.aihw.gov.au/reports/youth-justice/young-people-youth-justice-supervision-2022-23/summary" TargetMode="External"/><Relationship Id="rId2" Type="http://schemas.openxmlformats.org/officeDocument/2006/relationships/hyperlink" Target="https://www.snaicc.org.au/wp-content/uploads/2026/02/Reviewing-Implementation-of-the-Child-Placement-Principle-NT-2025.pdf" TargetMode="External"/><Relationship Id="rId1" Type="http://schemas.openxmlformats.org/officeDocument/2006/relationships/hyperlink" Target="https://www.snaicc.org.au/wp-content/uploads/2017/07/Understanding_applying_ATSICCP.pdf" TargetMode="External"/><Relationship Id="rId6" Type="http://schemas.openxmlformats.org/officeDocument/2006/relationships/hyperlink" Target="https://www.aihw.gov.au/reports/child-protection/child-protection-australia-2023-24/contents/aboriginal-and-torres-strait-islander-children" TargetMode="External"/><Relationship Id="rId11" Type="http://schemas.openxmlformats.org/officeDocument/2006/relationships/hyperlink" Target="https://www.aph.gov.au/Parliamentary_Business/Committees/Senate/Community_Affairs/Out_of_home_care/~/media/Committees/clac_ctte/Out_of_home_care/report.pdf" TargetMode="External"/><Relationship Id="rId5" Type="http://schemas.openxmlformats.org/officeDocument/2006/relationships/hyperlink" Target="https://www.aihw.gov.au/reports/child-protection/child-protection-australia-2023-24/data" TargetMode="External"/><Relationship Id="rId10" Type="http://schemas.openxmlformats.org/officeDocument/2006/relationships/hyperlink" Target="https://www.snaicc.org.au/resources/understanding-and-applying-the-aboriginal-and-torres-strait-islander-child-placement-principle-a-resource-for-legislation-policy-and-program-development/" TargetMode="External"/><Relationship Id="rId4" Type="http://schemas.openxmlformats.org/officeDocument/2006/relationships/hyperlink" Target="https://www.aihw.gov.au/reports/child-protection/child-protection-australia-2023-24/data" TargetMode="External"/><Relationship Id="rId9" Type="http://schemas.openxmlformats.org/officeDocument/2006/relationships/hyperlink" Target="https://link.springer.com/book/10.1007/978-3-031-12224-8"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116765"/>
      </a:dk2>
      <a:lt2>
        <a:srgbClr val="CEE3AD"/>
      </a:lt2>
      <a:accent1>
        <a:srgbClr val="592B5E"/>
      </a:accent1>
      <a:accent2>
        <a:srgbClr val="FAB545"/>
      </a:accent2>
      <a:accent3>
        <a:srgbClr val="E561BF"/>
      </a:accent3>
      <a:accent4>
        <a:srgbClr val="F55E00"/>
      </a:accent4>
      <a:accent5>
        <a:srgbClr val="D62E4A"/>
      </a:accent5>
      <a:accent6>
        <a:srgbClr val="EAA7BD"/>
      </a:accent6>
      <a:hlink>
        <a:srgbClr val="345964"/>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8c9c71-d856-4691-9063-a8af247ca0df" xsi:nil="true"/>
    <lcf76f155ced4ddcb4097134ff3c332f xmlns="e1ad8149-6f42-4726-be45-1dff3f96cdcd">
      <Terms xmlns="http://schemas.microsoft.com/office/infopath/2007/PartnerControls"/>
    </lcf76f155ced4ddcb4097134ff3c332f>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7CEEAD26FFF94EB179BBDDF7C92157" ma:contentTypeVersion="12" ma:contentTypeDescription="Create a new document." ma:contentTypeScope="" ma:versionID="b6bd58826dd52c526f00060c09ae13af">
  <xsd:schema xmlns:xsd="http://www.w3.org/2001/XMLSchema" xmlns:xs="http://www.w3.org/2001/XMLSchema" xmlns:p="http://schemas.microsoft.com/office/2006/metadata/properties" xmlns:ns2="e1ad8149-6f42-4726-be45-1dff3f96cdcd" xmlns:ns3="cc8c9c71-d856-4691-9063-a8af247ca0df" xmlns:ns4="http://schemas.microsoft.com/sharepoint/v3/fields" targetNamespace="http://schemas.microsoft.com/office/2006/metadata/properties" ma:root="true" ma:fieldsID="e2343d7f3b369ca87476111b914632df" ns2:_="" ns3:_="" ns4:_="">
    <xsd:import namespace="e1ad8149-6f42-4726-be45-1dff3f96cdcd"/>
    <xsd:import namespace="cc8c9c71-d856-4691-9063-a8af247ca0df"/>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DCDateCreate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8149-6f42-4726-be45-1dff3f96c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8c9c71-d856-4691-9063-a8af247ca0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9bf753-31fa-471a-ab0a-189aba012323}" ma:internalName="TaxCatchAll" ma:showField="CatchAllData" ma:web="cc8c9c71-d856-4691-9063-a8af247ca0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8"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0535D-F105-41CA-BC18-A6B34B77ECD0}">
  <ds:schemaRefs>
    <ds:schemaRef ds:uri="http://schemas.microsoft.com/office/2006/metadata/properties"/>
    <ds:schemaRef ds:uri="http://schemas.microsoft.com/office/infopath/2007/PartnerControls"/>
    <ds:schemaRef ds:uri="cc8c9c71-d856-4691-9063-a8af247ca0df"/>
    <ds:schemaRef ds:uri="e1ad8149-6f42-4726-be45-1dff3f96cdcd"/>
    <ds:schemaRef ds:uri="http://schemas.microsoft.com/sharepoint/v3/fields"/>
  </ds:schemaRefs>
</ds:datastoreItem>
</file>

<file path=customXml/itemProps2.xml><?xml version="1.0" encoding="utf-8"?>
<ds:datastoreItem xmlns:ds="http://schemas.openxmlformats.org/officeDocument/2006/customXml" ds:itemID="{4B0B8407-25B8-4764-A48E-6D0E87F3D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8149-6f42-4726-be45-1dff3f96cdcd"/>
    <ds:schemaRef ds:uri="cc8c9c71-d856-4691-9063-a8af247ca0d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4716C-E217-42B2-A665-EAEA0832FA25}">
  <ds:schemaRefs>
    <ds:schemaRef ds:uri="http://schemas.microsoft.com/sharepoint/v3/contenttype/forms"/>
  </ds:schemaRefs>
</ds:datastoreItem>
</file>

<file path=customXml/itemProps4.xml><?xml version="1.0" encoding="utf-8"?>
<ds:datastoreItem xmlns:ds="http://schemas.openxmlformats.org/officeDocument/2006/customXml" ds:itemID="{BF9D2DF2-AF5C-4B13-8A4F-DF1F9AA2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3552</Words>
  <Characters>21952</Characters>
  <Application>Microsoft Office Word</Application>
  <DocSecurity>4</DocSecurity>
  <Lines>277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25419</CharactersWithSpaces>
  <SharedDoc>false</SharedDoc>
  <HLinks>
    <vt:vector size="78" baseType="variant">
      <vt:variant>
        <vt:i4>1245250</vt:i4>
      </vt:variant>
      <vt:variant>
        <vt:i4>36</vt:i4>
      </vt:variant>
      <vt:variant>
        <vt:i4>0</vt:i4>
      </vt:variant>
      <vt:variant>
        <vt:i4>5</vt:i4>
      </vt:variant>
      <vt:variant>
        <vt:lpwstr>https://assets.pc.gov.au/inquiries/completed/closing-the-gap-review/report/closing-the-gap-review-report.pdf</vt:lpwstr>
      </vt:variant>
      <vt:variant>
        <vt:lpwstr/>
      </vt:variant>
      <vt:variant>
        <vt:i4>589903</vt:i4>
      </vt:variant>
      <vt:variant>
        <vt:i4>33</vt:i4>
      </vt:variant>
      <vt:variant>
        <vt:i4>0</vt:i4>
      </vt:variant>
      <vt:variant>
        <vt:i4>5</vt:i4>
      </vt:variant>
      <vt:variant>
        <vt:lpwstr>https://www.aihw.gov.au/reports/youth-justice/young-people-youth-justice-supervision-2022-23/summary</vt:lpwstr>
      </vt:variant>
      <vt:variant>
        <vt:lpwstr/>
      </vt:variant>
      <vt:variant>
        <vt:i4>524332</vt:i4>
      </vt:variant>
      <vt:variant>
        <vt:i4>30</vt:i4>
      </vt:variant>
      <vt:variant>
        <vt:i4>0</vt:i4>
      </vt:variant>
      <vt:variant>
        <vt:i4>5</vt:i4>
      </vt:variant>
      <vt:variant>
        <vt:lpwstr>https://www.aph.gov.au/Parliamentary_Business/Committees/Senate/Community_Affairs/Out_of_home_care/~/media/Committees/clac_ctte/Out_of_home_care/report.pdf</vt:lpwstr>
      </vt:variant>
      <vt:variant>
        <vt:lpwstr/>
      </vt:variant>
      <vt:variant>
        <vt:i4>4587536</vt:i4>
      </vt:variant>
      <vt:variant>
        <vt:i4>27</vt:i4>
      </vt:variant>
      <vt:variant>
        <vt:i4>0</vt:i4>
      </vt:variant>
      <vt:variant>
        <vt:i4>5</vt:i4>
      </vt:variant>
      <vt:variant>
        <vt:lpwstr>https://www.snaicc.org.au/resources/understanding-and-applying-the-aboriginal-and-torres-strait-islander-child-placement-principle-a-resource-for-legislation-policy-and-program-development/</vt:lpwstr>
      </vt:variant>
      <vt:variant>
        <vt:lpwstr/>
      </vt:variant>
      <vt:variant>
        <vt:i4>5701718</vt:i4>
      </vt:variant>
      <vt:variant>
        <vt:i4>24</vt:i4>
      </vt:variant>
      <vt:variant>
        <vt:i4>0</vt:i4>
      </vt:variant>
      <vt:variant>
        <vt:i4>5</vt:i4>
      </vt:variant>
      <vt:variant>
        <vt:lpwstr>https://link.springer.com/book/10.1007/978-3-031-12224-8</vt:lpwstr>
      </vt:variant>
      <vt:variant>
        <vt:lpwstr/>
      </vt:variant>
      <vt:variant>
        <vt:i4>5701718</vt:i4>
      </vt:variant>
      <vt:variant>
        <vt:i4>21</vt:i4>
      </vt:variant>
      <vt:variant>
        <vt:i4>0</vt:i4>
      </vt:variant>
      <vt:variant>
        <vt:i4>5</vt:i4>
      </vt:variant>
      <vt:variant>
        <vt:lpwstr>https://link.springer.com/book/10.1007/978-3-031-12224-8</vt:lpwstr>
      </vt:variant>
      <vt:variant>
        <vt:lpwstr/>
      </vt:variant>
      <vt:variant>
        <vt:i4>4587536</vt:i4>
      </vt:variant>
      <vt:variant>
        <vt:i4>18</vt:i4>
      </vt:variant>
      <vt:variant>
        <vt:i4>0</vt:i4>
      </vt:variant>
      <vt:variant>
        <vt:i4>5</vt:i4>
      </vt:variant>
      <vt:variant>
        <vt:lpwstr>https://www.snaicc.org.au/resources/understanding-and-applying-the-aboriginal-and-torres-strait-islander-child-placement-principle-a-resource-for-legislation-policy-and-program-development/</vt:lpwstr>
      </vt:variant>
      <vt:variant>
        <vt:lpwstr/>
      </vt:variant>
      <vt:variant>
        <vt:i4>2621558</vt:i4>
      </vt:variant>
      <vt:variant>
        <vt:i4>15</vt:i4>
      </vt:variant>
      <vt:variant>
        <vt:i4>0</vt:i4>
      </vt:variant>
      <vt:variant>
        <vt:i4>5</vt:i4>
      </vt:variant>
      <vt:variant>
        <vt:lpwstr>https://www.aihw.gov.au/reports/child-protection/child-protection-australia-2023-24/contents/aboriginal-and-torres-strait-islander-children</vt:lpwstr>
      </vt:variant>
      <vt:variant>
        <vt:lpwstr/>
      </vt:variant>
      <vt:variant>
        <vt:i4>720991</vt:i4>
      </vt:variant>
      <vt:variant>
        <vt:i4>12</vt:i4>
      </vt:variant>
      <vt:variant>
        <vt:i4>0</vt:i4>
      </vt:variant>
      <vt:variant>
        <vt:i4>5</vt:i4>
      </vt:variant>
      <vt:variant>
        <vt:lpwstr>https://www.aihw.gov.au/reports/child-protection/child-protection-australia-2023-24/data</vt:lpwstr>
      </vt:variant>
      <vt:variant>
        <vt:lpwstr/>
      </vt:variant>
      <vt:variant>
        <vt:i4>720991</vt:i4>
      </vt:variant>
      <vt:variant>
        <vt:i4>9</vt:i4>
      </vt:variant>
      <vt:variant>
        <vt:i4>0</vt:i4>
      </vt:variant>
      <vt:variant>
        <vt:i4>5</vt:i4>
      </vt:variant>
      <vt:variant>
        <vt:lpwstr>https://www.aihw.gov.au/reports/child-protection/child-protection-australia-2023-24/data</vt:lpwstr>
      </vt:variant>
      <vt:variant>
        <vt:lpwstr/>
      </vt:variant>
      <vt:variant>
        <vt:i4>2424955</vt:i4>
      </vt:variant>
      <vt:variant>
        <vt:i4>6</vt:i4>
      </vt:variant>
      <vt:variant>
        <vt:i4>0</vt:i4>
      </vt:variant>
      <vt:variant>
        <vt:i4>5</vt:i4>
      </vt:variant>
      <vt:variant>
        <vt:lpwstr>https://www.aihw.gov.au/reports/child-protection/child-protection-australia-2022-23</vt:lpwstr>
      </vt:variant>
      <vt:variant>
        <vt:lpwstr/>
      </vt:variant>
      <vt:variant>
        <vt:i4>6750242</vt:i4>
      </vt:variant>
      <vt:variant>
        <vt:i4>3</vt:i4>
      </vt:variant>
      <vt:variant>
        <vt:i4>0</vt:i4>
      </vt:variant>
      <vt:variant>
        <vt:i4>5</vt:i4>
      </vt:variant>
      <vt:variant>
        <vt:lpwstr>https://www.snaicc.org.au/wp-content/uploads/2026/02/Reviewing-Implementation-of-the-Child-Placement-Principle-NT-2025.pdf</vt:lpwstr>
      </vt:variant>
      <vt:variant>
        <vt:lpwstr/>
      </vt:variant>
      <vt:variant>
        <vt:i4>786517</vt:i4>
      </vt:variant>
      <vt:variant>
        <vt:i4>0</vt:i4>
      </vt:variant>
      <vt:variant>
        <vt:i4>0</vt:i4>
      </vt:variant>
      <vt:variant>
        <vt:i4>5</vt:i4>
      </vt:variant>
      <vt:variant>
        <vt:lpwstr>https://www.snaicc.org.au/wp-content/uploads/2017/07/Understanding_applying_ATSICCP.pdf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[SEC=OFFICIAL]</cp:keywords>
  <dc:description/>
  <cp:lastModifiedBy>THIESSEN-DELANEY, Jack</cp:lastModifiedBy>
  <cp:revision>2</cp:revision>
  <dcterms:created xsi:type="dcterms:W3CDTF">2026-05-27T00:05:00Z</dcterms:created>
  <dcterms:modified xsi:type="dcterms:W3CDTF">2026-05-27T00:05:00Z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2025-12-19T03:20:29Z</vt:lpwstr>
  </property>
  <property fmtid="{D5CDD505-2E9C-101B-9397-08002B2CF9AE}" pid="11" name="PM_Markers">
    <vt:lpwstr/>
  </property>
  <property fmtid="{D5CDD505-2E9C-101B-9397-08002B2CF9AE}" pid="12" name="PM_DownTo">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DowngradeTo">
    <vt:lpwstr/>
  </property>
  <property fmtid="{D5CDD505-2E9C-101B-9397-08002B2CF9AE}" pid="17" name="MSIP_Label_eb34d90b-fc41-464d-af60-f74d721d0790_SiteId">
    <vt:lpwstr>61e36dd1-ca6e-4d61-aa0a-2b4eb88317a3</vt:lpwstr>
  </property>
  <property fmtid="{D5CDD505-2E9C-101B-9397-08002B2CF9AE}" pid="18" name="MSIP_Label_eb34d90b-fc41-464d-af60-f74d721d0790_ContentBits">
    <vt:lpwstr>3</vt:lpwstr>
  </property>
  <property fmtid="{D5CDD505-2E9C-101B-9397-08002B2CF9AE}" pid="19" name="MSIP_Label_eb34d90b-fc41-464d-af60-f74d721d0790_Enabled">
    <vt:lpwstr>true</vt:lpwstr>
  </property>
  <property fmtid="{D5CDD505-2E9C-101B-9397-08002B2CF9AE}" pid="20" name="MSIP_Label_eb34d90b-fc41-464d-af60-f74d721d0790_SetDate">
    <vt:lpwstr>2025-12-19T03:20:29Z</vt:lpwstr>
  </property>
  <property fmtid="{D5CDD505-2E9C-101B-9397-08002B2CF9AE}" pid="21" name="MSIP_Label_eb34d90b-fc41-464d-af60-f74d721d0790_Method">
    <vt:lpwstr>Privileged</vt:lpwstr>
  </property>
  <property fmtid="{D5CDD505-2E9C-101B-9397-08002B2CF9AE}" pid="22" name="PM_Originator_Hash_SHA1">
    <vt:lpwstr>DC65D461C53E7F03372B9BDE51DB50F849E23579</vt:lpwstr>
  </property>
  <property fmtid="{D5CDD505-2E9C-101B-9397-08002B2CF9AE}" pid="23" name="PM_Originating_FileId">
    <vt:lpwstr>5CF4CB8C949F44EBB12FE9F96674AC97</vt:lpwstr>
  </property>
  <property fmtid="{D5CDD505-2E9C-101B-9397-08002B2CF9AE}" pid="24" name="PM_ProtectiveMarkingValue_Footer">
    <vt:lpwstr>OFFICIAL</vt:lpwstr>
  </property>
  <property fmtid="{D5CDD505-2E9C-101B-9397-08002B2CF9AE}" pid="25" name="PM_Display">
    <vt:lpwstr>OFFICIAL</vt:lpwstr>
  </property>
  <property fmtid="{D5CDD505-2E9C-101B-9397-08002B2CF9AE}" pid="26" name="PM_OriginatorUserAccountName_SHA256">
    <vt:lpwstr>37EA6EBB3E587A3F21DAF2A4C71DE644D5DFC3CBD2EBB1F7C0B0675D2C2EDA92</vt:lpwstr>
  </property>
  <property fmtid="{D5CDD505-2E9C-101B-9397-08002B2CF9AE}" pid="27" name="PM_OriginatorDomainName_SHA256">
    <vt:lpwstr>90DD226722AEB1D1FBD8A64ABD98CDDDA3B1C0DDC187AB936A3F3E3EB7D66484</vt:lpwstr>
  </property>
  <property fmtid="{D5CDD505-2E9C-101B-9397-08002B2CF9AE}" pid="28" name="PMUuid">
    <vt:lpwstr>v=2022.2;d=gov.au;g=46DD6D7C-8107-577B-BC6E-F348953B2E44</vt:lpwstr>
  </property>
  <property fmtid="{D5CDD505-2E9C-101B-9397-08002B2CF9AE}" pid="29" name="PM_Hash_Version">
    <vt:lpwstr>2024.1</vt:lpwstr>
  </property>
  <property fmtid="{D5CDD505-2E9C-101B-9397-08002B2CF9AE}" pid="30" name="ContentTypeId">
    <vt:lpwstr>0x010100A17CEEAD26FFF94EB179BBDDF7C92157</vt:lpwstr>
  </property>
  <property fmtid="{D5CDD505-2E9C-101B-9397-08002B2CF9AE}" pid="31" name="PM_SecurityClassification_Prev">
    <vt:lpwstr>OFFICIAL</vt:lpwstr>
  </property>
  <property fmtid="{D5CDD505-2E9C-101B-9397-08002B2CF9AE}" pid="32" name="PM_Qualifier_Prev">
    <vt:lpwstr/>
  </property>
  <property fmtid="{D5CDD505-2E9C-101B-9397-08002B2CF9AE}" pid="33" name="MediaServiceImageTags">
    <vt:lpwstr/>
  </property>
  <property fmtid="{D5CDD505-2E9C-101B-9397-08002B2CF9AE}" pid="34" name="PMHMAC">
    <vt:lpwstr>v=2024.1;a=SHA256;h=3176BD1F82CA9D43D8DB247C7DC44D9D3E5D25922CC7D46E6758EDAAE2B889D8</vt:lpwstr>
  </property>
  <property fmtid="{D5CDD505-2E9C-101B-9397-08002B2CF9AE}" pid="35" name="MSIP_Label_eb34d90b-fc41-464d-af60-f74d721d0790_ActionId">
    <vt:lpwstr>6bc2d05aafca48ba87327e5f23d178bd</vt:lpwstr>
  </property>
  <property fmtid="{D5CDD505-2E9C-101B-9397-08002B2CF9AE}" pid="36" name="PM_Hash_Salt_Prev">
    <vt:lpwstr>50E37FA861302067E336D218049AE0F2</vt:lpwstr>
  </property>
  <property fmtid="{D5CDD505-2E9C-101B-9397-08002B2CF9AE}" pid="37" name="PM_Hash_Salt">
    <vt:lpwstr>F1420FB72570641DD4E39AB3A7003B27</vt:lpwstr>
  </property>
  <property fmtid="{D5CDD505-2E9C-101B-9397-08002B2CF9AE}" pid="38" name="PM_Hash_SHA1">
    <vt:lpwstr>90934957747409C23A59732C3A6369771DECD9BB</vt:lpwstr>
  </property>
</Properties>
</file>